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282A6A">
      <w:pPr>
        <w:widowControl/>
        <w:spacing w:line="360" w:lineRule="atLeast"/>
        <w:jc w:val="center"/>
        <w:rPr>
          <w:rFonts w:hint="eastAsia" w:eastAsia="方正小标宋简体"/>
          <w:sz w:val="44"/>
          <w:szCs w:val="44"/>
        </w:rPr>
      </w:pPr>
      <w:r>
        <w:rPr>
          <w:rFonts w:eastAsia="方正小标宋简体"/>
          <w:sz w:val="44"/>
          <w:szCs w:val="44"/>
        </w:rPr>
        <w:t>《</w:t>
      </w:r>
      <w:r>
        <w:rPr>
          <w:rFonts w:hint="eastAsia" w:eastAsia="方正小标宋简体"/>
          <w:sz w:val="44"/>
          <w:szCs w:val="44"/>
        </w:rPr>
        <w:t>澳洲淡水龙虾池塘养殖技术规程</w:t>
      </w:r>
      <w:r>
        <w:rPr>
          <w:rFonts w:eastAsia="方正小标宋简体"/>
          <w:sz w:val="44"/>
          <w:szCs w:val="44"/>
        </w:rPr>
        <w:t>》地方标准编制说明</w:t>
      </w:r>
    </w:p>
    <w:p w14:paraId="6BFBCCB9">
      <w:pPr>
        <w:widowControl/>
        <w:spacing w:line="360" w:lineRule="atLeast"/>
        <w:jc w:val="center"/>
        <w:rPr>
          <w:rFonts w:eastAsia="方正小标宋简体"/>
          <w:sz w:val="36"/>
          <w:szCs w:val="36"/>
        </w:rPr>
      </w:pPr>
    </w:p>
    <w:p w14:paraId="48C09F63">
      <w:pPr>
        <w:ind w:firstLine="560" w:firstLineChars="200"/>
        <w:rPr>
          <w:rFonts w:eastAsia="黑体"/>
          <w:sz w:val="28"/>
          <w:szCs w:val="28"/>
        </w:rPr>
      </w:pPr>
      <w:r>
        <w:rPr>
          <w:rFonts w:hAnsi="黑体" w:eastAsia="黑体"/>
          <w:sz w:val="28"/>
          <w:szCs w:val="28"/>
        </w:rPr>
        <w:t>一、工作简况</w:t>
      </w:r>
    </w:p>
    <w:p w14:paraId="53F990CF">
      <w:pPr>
        <w:ind w:firstLine="560" w:firstLineChars="200"/>
        <w:rPr>
          <w:rFonts w:eastAsia="楷体_GB2312"/>
          <w:sz w:val="28"/>
          <w:szCs w:val="28"/>
        </w:rPr>
      </w:pPr>
      <w:r>
        <w:rPr>
          <w:rFonts w:eastAsia="楷体_GB2312"/>
          <w:sz w:val="28"/>
          <w:szCs w:val="28"/>
        </w:rPr>
        <w:t>1. 任务来源</w:t>
      </w:r>
    </w:p>
    <w:p w14:paraId="5BAC9459">
      <w:pPr>
        <w:ind w:firstLine="560" w:firstLineChars="200"/>
        <w:jc w:val="left"/>
        <w:rPr>
          <w:rFonts w:ascii="仿宋" w:hAnsi="仿宋" w:eastAsia="仿宋"/>
          <w:sz w:val="28"/>
          <w:szCs w:val="28"/>
        </w:rPr>
      </w:pPr>
      <w:r>
        <w:rPr>
          <w:rFonts w:hint="eastAsia" w:ascii="仿宋" w:hAnsi="仿宋" w:eastAsia="仿宋"/>
          <w:sz w:val="28"/>
          <w:szCs w:val="28"/>
        </w:rPr>
        <w:t>江西省特种水产产业技术体系(JXARS-10)；2023年</w:t>
      </w:r>
      <w:r>
        <w:rPr>
          <w:rFonts w:hint="eastAsia" w:ascii="仿宋" w:hAnsi="仿宋" w:eastAsia="仿宋"/>
          <w:sz w:val="28"/>
          <w:szCs w:val="28"/>
          <w:lang w:eastAsia="zh-CN"/>
        </w:rPr>
        <w:t>、</w:t>
      </w:r>
      <w:r>
        <w:rPr>
          <w:rFonts w:hint="eastAsia" w:ascii="仿宋" w:hAnsi="仿宋" w:eastAsia="仿宋"/>
          <w:sz w:val="28"/>
          <w:szCs w:val="28"/>
          <w:lang w:val="en-US" w:eastAsia="zh-CN"/>
        </w:rPr>
        <w:t>2024年</w:t>
      </w:r>
      <w:r>
        <w:rPr>
          <w:rFonts w:hint="eastAsia" w:ascii="仿宋" w:hAnsi="仿宋" w:eastAsia="仿宋"/>
          <w:sz w:val="28"/>
          <w:szCs w:val="28"/>
        </w:rPr>
        <w:t>江西省现代种业（渔业）发展项目（赣财农指〔2022〕45号）。</w:t>
      </w:r>
    </w:p>
    <w:p w14:paraId="625966ED">
      <w:pPr>
        <w:numPr>
          <w:ilvl w:val="0"/>
          <w:numId w:val="2"/>
        </w:numPr>
        <w:ind w:firstLine="560" w:firstLineChars="200"/>
        <w:rPr>
          <w:rFonts w:eastAsia="楷体_GB2312"/>
          <w:sz w:val="28"/>
          <w:szCs w:val="28"/>
        </w:rPr>
      </w:pPr>
      <w:r>
        <w:rPr>
          <w:rFonts w:eastAsia="楷体_GB2312"/>
          <w:sz w:val="28"/>
          <w:szCs w:val="28"/>
        </w:rPr>
        <w:t>起草单位</w:t>
      </w:r>
    </w:p>
    <w:p w14:paraId="03160578">
      <w:pPr>
        <w:ind w:firstLine="560" w:firstLineChars="200"/>
        <w:rPr>
          <w:rFonts w:hAnsi="仿宋" w:eastAsia="仿宋"/>
          <w:sz w:val="28"/>
          <w:szCs w:val="28"/>
        </w:rPr>
      </w:pPr>
      <w:r>
        <w:rPr>
          <w:rFonts w:hint="eastAsia" w:hAnsi="仿宋" w:eastAsia="仿宋"/>
          <w:sz w:val="28"/>
          <w:szCs w:val="28"/>
        </w:rPr>
        <w:t>江西省农业技术推广中心、南昌大学、吉安市农业农村产业发展服务中心</w:t>
      </w:r>
      <w:r>
        <w:rPr>
          <w:rFonts w:hint="eastAsia" w:hAnsi="仿宋" w:eastAsia="仿宋"/>
          <w:sz w:val="28"/>
          <w:szCs w:val="28"/>
          <w:lang w:eastAsia="zh-CN"/>
        </w:rPr>
        <w:t>、</w:t>
      </w:r>
      <w:r>
        <w:rPr>
          <w:rFonts w:hint="eastAsia" w:hAnsi="仿宋" w:eastAsia="仿宋"/>
          <w:sz w:val="28"/>
          <w:szCs w:val="28"/>
          <w:lang w:val="en-US" w:eastAsia="zh-CN"/>
        </w:rPr>
        <w:t>九江市农业科学院、</w:t>
      </w:r>
      <w:r>
        <w:rPr>
          <w:rFonts w:hint="eastAsia" w:hAnsi="仿宋" w:eastAsia="仿宋"/>
          <w:sz w:val="28"/>
          <w:szCs w:val="28"/>
        </w:rPr>
        <w:t>江西</w:t>
      </w:r>
      <w:r>
        <w:rPr>
          <w:rFonts w:hint="eastAsia" w:hAnsi="仿宋" w:eastAsia="仿宋"/>
          <w:sz w:val="28"/>
          <w:szCs w:val="28"/>
          <w:lang w:eastAsia="zh-CN"/>
        </w:rPr>
        <w:t>星燃农业科技</w:t>
      </w:r>
      <w:r>
        <w:rPr>
          <w:rFonts w:hint="eastAsia" w:hAnsi="仿宋" w:eastAsia="仿宋"/>
          <w:sz w:val="28"/>
          <w:szCs w:val="28"/>
        </w:rPr>
        <w:t>有限公司</w:t>
      </w:r>
      <w:r>
        <w:rPr>
          <w:rFonts w:hint="eastAsia" w:hAnsi="仿宋" w:eastAsia="仿宋"/>
          <w:sz w:val="28"/>
          <w:szCs w:val="28"/>
          <w:lang w:eastAsia="zh-CN"/>
        </w:rPr>
        <w:t>、江西鑫润荣农业开发有限公司</w:t>
      </w:r>
      <w:r>
        <w:rPr>
          <w:rFonts w:hint="eastAsia" w:hAnsi="仿宋" w:eastAsia="仿宋"/>
          <w:sz w:val="28"/>
          <w:szCs w:val="28"/>
        </w:rPr>
        <w:t>。</w:t>
      </w:r>
    </w:p>
    <w:p w14:paraId="793E9609">
      <w:pPr>
        <w:ind w:firstLine="560" w:firstLineChars="200"/>
        <w:rPr>
          <w:rFonts w:eastAsia="楷体_GB2312"/>
          <w:sz w:val="28"/>
          <w:szCs w:val="28"/>
        </w:rPr>
      </w:pPr>
      <w:r>
        <w:rPr>
          <w:rFonts w:eastAsia="楷体_GB2312"/>
          <w:sz w:val="28"/>
          <w:szCs w:val="28"/>
        </w:rPr>
        <w:t>3.主要起草人(以表格形式将内容明确)</w:t>
      </w:r>
    </w:p>
    <w:tbl>
      <w:tblPr>
        <w:tblStyle w:val="7"/>
        <w:tblW w:w="9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810"/>
        <w:gridCol w:w="2340"/>
        <w:gridCol w:w="3848"/>
        <w:gridCol w:w="1477"/>
      </w:tblGrid>
      <w:tr w14:paraId="345CB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shd w:val="clear" w:color="auto" w:fill="auto"/>
            <w:vAlign w:val="center"/>
          </w:tcPr>
          <w:p w14:paraId="6084C4C8">
            <w:pPr>
              <w:spacing w:line="400" w:lineRule="exact"/>
              <w:contextualSpacing/>
              <w:jc w:val="center"/>
              <w:rPr>
                <w:rFonts w:eastAsia="仿宋"/>
                <w:b/>
                <w:sz w:val="24"/>
                <w:szCs w:val="24"/>
              </w:rPr>
            </w:pPr>
            <w:r>
              <w:rPr>
                <w:rFonts w:hAnsi="仿宋" w:eastAsia="仿宋"/>
                <w:b/>
                <w:sz w:val="24"/>
                <w:szCs w:val="24"/>
              </w:rPr>
              <w:t>姓</w:t>
            </w:r>
            <w:r>
              <w:rPr>
                <w:rFonts w:eastAsia="仿宋"/>
                <w:b/>
                <w:sz w:val="24"/>
                <w:szCs w:val="24"/>
              </w:rPr>
              <w:t xml:space="preserve"> </w:t>
            </w:r>
            <w:r>
              <w:rPr>
                <w:rFonts w:hAnsi="仿宋" w:eastAsia="仿宋"/>
                <w:b/>
                <w:sz w:val="24"/>
                <w:szCs w:val="24"/>
              </w:rPr>
              <w:t>名</w:t>
            </w:r>
          </w:p>
        </w:tc>
        <w:tc>
          <w:tcPr>
            <w:tcW w:w="810" w:type="dxa"/>
            <w:shd w:val="clear" w:color="auto" w:fill="auto"/>
            <w:vAlign w:val="center"/>
          </w:tcPr>
          <w:p w14:paraId="369FE6F1">
            <w:pPr>
              <w:spacing w:line="400" w:lineRule="exact"/>
              <w:contextualSpacing/>
              <w:jc w:val="center"/>
              <w:rPr>
                <w:rFonts w:eastAsia="仿宋"/>
                <w:b/>
                <w:sz w:val="24"/>
                <w:szCs w:val="24"/>
              </w:rPr>
            </w:pPr>
            <w:r>
              <w:rPr>
                <w:rFonts w:hAnsi="仿宋" w:eastAsia="仿宋"/>
                <w:b/>
                <w:sz w:val="24"/>
                <w:szCs w:val="24"/>
              </w:rPr>
              <w:t>性别</w:t>
            </w:r>
          </w:p>
        </w:tc>
        <w:tc>
          <w:tcPr>
            <w:tcW w:w="2340" w:type="dxa"/>
            <w:shd w:val="clear" w:color="auto" w:fill="auto"/>
            <w:vAlign w:val="center"/>
          </w:tcPr>
          <w:p w14:paraId="710B9020">
            <w:pPr>
              <w:spacing w:line="400" w:lineRule="exact"/>
              <w:contextualSpacing/>
              <w:jc w:val="center"/>
              <w:rPr>
                <w:rFonts w:eastAsia="仿宋"/>
                <w:b/>
                <w:sz w:val="24"/>
                <w:szCs w:val="24"/>
              </w:rPr>
            </w:pPr>
            <w:r>
              <w:rPr>
                <w:rFonts w:hAnsi="仿宋" w:eastAsia="仿宋"/>
                <w:b/>
                <w:sz w:val="24"/>
                <w:szCs w:val="24"/>
              </w:rPr>
              <w:t>职务</w:t>
            </w:r>
            <w:r>
              <w:rPr>
                <w:rFonts w:eastAsia="仿宋"/>
                <w:b/>
                <w:sz w:val="24"/>
                <w:szCs w:val="24"/>
              </w:rPr>
              <w:t>/</w:t>
            </w:r>
            <w:r>
              <w:rPr>
                <w:rFonts w:hAnsi="仿宋" w:eastAsia="仿宋"/>
                <w:b/>
                <w:sz w:val="24"/>
                <w:szCs w:val="24"/>
              </w:rPr>
              <w:t>职称</w:t>
            </w:r>
          </w:p>
        </w:tc>
        <w:tc>
          <w:tcPr>
            <w:tcW w:w="3848" w:type="dxa"/>
            <w:shd w:val="clear" w:color="auto" w:fill="auto"/>
            <w:vAlign w:val="center"/>
          </w:tcPr>
          <w:p w14:paraId="4212A6FA">
            <w:pPr>
              <w:spacing w:line="400" w:lineRule="exact"/>
              <w:contextualSpacing/>
              <w:jc w:val="center"/>
              <w:rPr>
                <w:rFonts w:eastAsia="仿宋"/>
                <w:b/>
                <w:sz w:val="24"/>
                <w:szCs w:val="24"/>
              </w:rPr>
            </w:pPr>
            <w:r>
              <w:rPr>
                <w:rFonts w:hAnsi="仿宋" w:eastAsia="仿宋"/>
                <w:b/>
                <w:sz w:val="24"/>
                <w:szCs w:val="24"/>
              </w:rPr>
              <w:t>工作单位</w:t>
            </w:r>
          </w:p>
        </w:tc>
        <w:tc>
          <w:tcPr>
            <w:tcW w:w="1477" w:type="dxa"/>
            <w:shd w:val="clear" w:color="auto" w:fill="auto"/>
            <w:vAlign w:val="center"/>
          </w:tcPr>
          <w:p w14:paraId="7B33A126">
            <w:pPr>
              <w:spacing w:line="400" w:lineRule="exact"/>
              <w:contextualSpacing/>
              <w:jc w:val="center"/>
              <w:rPr>
                <w:rFonts w:eastAsia="仿宋"/>
                <w:b/>
                <w:sz w:val="24"/>
                <w:szCs w:val="24"/>
              </w:rPr>
            </w:pPr>
            <w:r>
              <w:rPr>
                <w:rFonts w:hAnsi="仿宋" w:eastAsia="仿宋"/>
                <w:b/>
                <w:sz w:val="24"/>
                <w:szCs w:val="24"/>
              </w:rPr>
              <w:t>任务分工</w:t>
            </w:r>
          </w:p>
        </w:tc>
      </w:tr>
      <w:tr w14:paraId="20E23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vAlign w:val="center"/>
          </w:tcPr>
          <w:p w14:paraId="3FB15C71">
            <w:pPr>
              <w:spacing w:line="400" w:lineRule="exact"/>
              <w:contextualSpacing/>
              <w:jc w:val="center"/>
              <w:rPr>
                <w:rFonts w:hAnsi="仿宋" w:eastAsia="仿宋"/>
                <w:sz w:val="24"/>
                <w:szCs w:val="24"/>
              </w:rPr>
            </w:pPr>
            <w:r>
              <w:rPr>
                <w:rFonts w:hAnsi="仿宋" w:eastAsia="仿宋"/>
                <w:sz w:val="24"/>
                <w:szCs w:val="24"/>
              </w:rPr>
              <w:t>李小勇</w:t>
            </w:r>
          </w:p>
        </w:tc>
        <w:tc>
          <w:tcPr>
            <w:tcW w:w="810" w:type="dxa"/>
            <w:vAlign w:val="center"/>
          </w:tcPr>
          <w:p w14:paraId="335CCA44">
            <w:pPr>
              <w:spacing w:line="400" w:lineRule="exact"/>
              <w:contextualSpacing/>
              <w:jc w:val="center"/>
              <w:rPr>
                <w:rFonts w:hAnsi="仿宋" w:eastAsia="仿宋"/>
                <w:sz w:val="24"/>
                <w:szCs w:val="24"/>
              </w:rPr>
            </w:pPr>
            <w:r>
              <w:rPr>
                <w:rFonts w:hint="eastAsia" w:hAnsi="仿宋" w:eastAsia="仿宋"/>
                <w:sz w:val="24"/>
                <w:szCs w:val="24"/>
              </w:rPr>
              <w:t>男</w:t>
            </w:r>
          </w:p>
        </w:tc>
        <w:tc>
          <w:tcPr>
            <w:tcW w:w="2340" w:type="dxa"/>
            <w:vAlign w:val="center"/>
          </w:tcPr>
          <w:p w14:paraId="5F5765CE">
            <w:pPr>
              <w:spacing w:line="400" w:lineRule="exact"/>
              <w:contextualSpacing/>
              <w:jc w:val="center"/>
              <w:rPr>
                <w:rFonts w:hAnsi="仿宋" w:eastAsia="仿宋"/>
                <w:sz w:val="24"/>
                <w:szCs w:val="24"/>
              </w:rPr>
            </w:pPr>
            <w:r>
              <w:rPr>
                <w:rFonts w:hint="eastAsia" w:hAnsi="仿宋" w:eastAsia="仿宋"/>
                <w:sz w:val="24"/>
                <w:szCs w:val="24"/>
              </w:rPr>
              <w:t>高级工程师</w:t>
            </w:r>
          </w:p>
        </w:tc>
        <w:tc>
          <w:tcPr>
            <w:tcW w:w="3848" w:type="dxa"/>
            <w:vAlign w:val="center"/>
          </w:tcPr>
          <w:p w14:paraId="267F6CE2">
            <w:pPr>
              <w:spacing w:line="400" w:lineRule="exact"/>
              <w:contextualSpacing/>
              <w:jc w:val="center"/>
              <w:rPr>
                <w:rFonts w:hAnsi="仿宋" w:eastAsia="仿宋"/>
                <w:sz w:val="24"/>
                <w:szCs w:val="24"/>
              </w:rPr>
            </w:pPr>
            <w:r>
              <w:rPr>
                <w:rFonts w:hint="eastAsia" w:hAnsi="仿宋" w:eastAsia="仿宋"/>
                <w:sz w:val="24"/>
                <w:szCs w:val="24"/>
              </w:rPr>
              <w:t>江西省农业技术推广中心</w:t>
            </w:r>
          </w:p>
        </w:tc>
        <w:tc>
          <w:tcPr>
            <w:tcW w:w="1477" w:type="dxa"/>
            <w:vAlign w:val="center"/>
          </w:tcPr>
          <w:p w14:paraId="3E7DBE15">
            <w:pPr>
              <w:spacing w:line="400" w:lineRule="exact"/>
              <w:contextualSpacing/>
              <w:jc w:val="center"/>
              <w:rPr>
                <w:rFonts w:hAnsi="仿宋" w:eastAsia="仿宋"/>
                <w:sz w:val="24"/>
                <w:szCs w:val="24"/>
              </w:rPr>
            </w:pPr>
            <w:r>
              <w:rPr>
                <w:rFonts w:hint="eastAsia" w:hAnsi="仿宋" w:eastAsia="仿宋"/>
                <w:sz w:val="24"/>
                <w:szCs w:val="24"/>
              </w:rPr>
              <w:t>组织编写</w:t>
            </w:r>
          </w:p>
        </w:tc>
      </w:tr>
      <w:tr w14:paraId="7D614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vAlign w:val="center"/>
          </w:tcPr>
          <w:p w14:paraId="7B685B64">
            <w:pPr>
              <w:spacing w:line="400" w:lineRule="exact"/>
              <w:contextualSpacing/>
              <w:jc w:val="center"/>
              <w:rPr>
                <w:rFonts w:hAnsi="仿宋" w:eastAsia="仿宋"/>
                <w:sz w:val="24"/>
                <w:szCs w:val="24"/>
              </w:rPr>
            </w:pPr>
            <w:r>
              <w:rPr>
                <w:rFonts w:hint="eastAsia" w:hAnsi="仿宋" w:eastAsia="仿宋"/>
                <w:sz w:val="24"/>
                <w:szCs w:val="24"/>
              </w:rPr>
              <w:t>赵大显</w:t>
            </w:r>
          </w:p>
        </w:tc>
        <w:tc>
          <w:tcPr>
            <w:tcW w:w="810" w:type="dxa"/>
            <w:vAlign w:val="center"/>
          </w:tcPr>
          <w:p w14:paraId="4BBBED34">
            <w:pPr>
              <w:spacing w:line="400" w:lineRule="exact"/>
              <w:contextualSpacing/>
              <w:jc w:val="center"/>
              <w:rPr>
                <w:rFonts w:hAnsi="仿宋" w:eastAsia="仿宋"/>
                <w:sz w:val="24"/>
                <w:szCs w:val="24"/>
              </w:rPr>
            </w:pPr>
            <w:r>
              <w:rPr>
                <w:rFonts w:hint="eastAsia" w:hAnsi="仿宋" w:eastAsia="仿宋"/>
                <w:sz w:val="24"/>
                <w:szCs w:val="24"/>
              </w:rPr>
              <w:t>男</w:t>
            </w:r>
          </w:p>
        </w:tc>
        <w:tc>
          <w:tcPr>
            <w:tcW w:w="2340" w:type="dxa"/>
            <w:vAlign w:val="center"/>
          </w:tcPr>
          <w:p w14:paraId="49C69C1B">
            <w:pPr>
              <w:spacing w:line="400" w:lineRule="exact"/>
              <w:contextualSpacing/>
              <w:jc w:val="center"/>
              <w:rPr>
                <w:rFonts w:hAnsi="仿宋" w:eastAsia="仿宋"/>
                <w:sz w:val="24"/>
                <w:szCs w:val="24"/>
              </w:rPr>
            </w:pPr>
            <w:r>
              <w:rPr>
                <w:rFonts w:hint="eastAsia" w:hAnsi="仿宋" w:eastAsia="仿宋"/>
                <w:sz w:val="24"/>
                <w:szCs w:val="24"/>
              </w:rPr>
              <w:t>教授</w:t>
            </w:r>
          </w:p>
        </w:tc>
        <w:tc>
          <w:tcPr>
            <w:tcW w:w="3848" w:type="dxa"/>
            <w:vAlign w:val="center"/>
          </w:tcPr>
          <w:p w14:paraId="052E6B66">
            <w:pPr>
              <w:spacing w:line="400" w:lineRule="exact"/>
              <w:contextualSpacing/>
              <w:jc w:val="center"/>
              <w:rPr>
                <w:rFonts w:hAnsi="仿宋" w:eastAsia="仿宋"/>
                <w:sz w:val="24"/>
                <w:szCs w:val="24"/>
              </w:rPr>
            </w:pPr>
            <w:r>
              <w:rPr>
                <w:rFonts w:hint="eastAsia" w:hAnsi="仿宋" w:eastAsia="仿宋"/>
                <w:sz w:val="24"/>
                <w:szCs w:val="24"/>
              </w:rPr>
              <w:t>南昌大学</w:t>
            </w:r>
          </w:p>
        </w:tc>
        <w:tc>
          <w:tcPr>
            <w:tcW w:w="1477" w:type="dxa"/>
            <w:vAlign w:val="center"/>
          </w:tcPr>
          <w:p w14:paraId="727BB937">
            <w:pPr>
              <w:spacing w:line="400" w:lineRule="exact"/>
              <w:contextualSpacing/>
              <w:jc w:val="center"/>
              <w:rPr>
                <w:rFonts w:hAnsi="仿宋" w:eastAsia="仿宋"/>
                <w:sz w:val="24"/>
                <w:szCs w:val="24"/>
              </w:rPr>
            </w:pPr>
            <w:r>
              <w:rPr>
                <w:rFonts w:hint="eastAsia" w:hAnsi="仿宋" w:eastAsia="仿宋"/>
                <w:sz w:val="24"/>
                <w:szCs w:val="24"/>
              </w:rPr>
              <w:t>技术研发</w:t>
            </w:r>
          </w:p>
        </w:tc>
      </w:tr>
      <w:tr w14:paraId="19A96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vAlign w:val="center"/>
          </w:tcPr>
          <w:p w14:paraId="4B6ECB16">
            <w:pPr>
              <w:spacing w:line="400" w:lineRule="exact"/>
              <w:contextualSpacing/>
              <w:jc w:val="center"/>
              <w:rPr>
                <w:rFonts w:hint="eastAsia" w:ascii="Times New Roman" w:hAnsi="仿宋" w:eastAsia="仿宋" w:cs="Times New Roman"/>
                <w:kern w:val="2"/>
                <w:sz w:val="24"/>
                <w:szCs w:val="24"/>
                <w:lang w:val="en-US" w:eastAsia="zh-CN" w:bidi="ar-SA"/>
              </w:rPr>
            </w:pPr>
            <w:r>
              <w:rPr>
                <w:rFonts w:hint="eastAsia" w:hAnsi="仿宋" w:eastAsia="仿宋"/>
                <w:sz w:val="24"/>
                <w:szCs w:val="24"/>
              </w:rPr>
              <w:t>邱桂萍</w:t>
            </w:r>
          </w:p>
        </w:tc>
        <w:tc>
          <w:tcPr>
            <w:tcW w:w="810" w:type="dxa"/>
            <w:vAlign w:val="center"/>
          </w:tcPr>
          <w:p w14:paraId="242A520D">
            <w:pPr>
              <w:spacing w:line="400" w:lineRule="exact"/>
              <w:contextualSpacing/>
              <w:jc w:val="center"/>
              <w:rPr>
                <w:rFonts w:hint="eastAsia" w:ascii="Times New Roman" w:hAnsi="仿宋" w:eastAsia="仿宋" w:cs="Times New Roman"/>
                <w:kern w:val="2"/>
                <w:sz w:val="24"/>
                <w:szCs w:val="24"/>
                <w:lang w:val="en-US" w:eastAsia="zh-CN" w:bidi="ar-SA"/>
              </w:rPr>
            </w:pPr>
            <w:r>
              <w:rPr>
                <w:rFonts w:hint="eastAsia" w:hAnsi="仿宋" w:eastAsia="仿宋"/>
                <w:sz w:val="24"/>
                <w:szCs w:val="24"/>
              </w:rPr>
              <w:t>女</w:t>
            </w:r>
          </w:p>
        </w:tc>
        <w:tc>
          <w:tcPr>
            <w:tcW w:w="2340" w:type="dxa"/>
            <w:vAlign w:val="center"/>
          </w:tcPr>
          <w:p w14:paraId="2D0AC3A7">
            <w:pPr>
              <w:spacing w:line="400" w:lineRule="exact"/>
              <w:contextualSpacing/>
              <w:jc w:val="center"/>
              <w:rPr>
                <w:rFonts w:hint="eastAsia" w:ascii="Times New Roman" w:hAnsi="仿宋" w:eastAsia="仿宋" w:cs="Times New Roman"/>
                <w:kern w:val="2"/>
                <w:sz w:val="24"/>
                <w:szCs w:val="24"/>
                <w:lang w:val="en-US" w:eastAsia="zh-CN" w:bidi="ar-SA"/>
              </w:rPr>
            </w:pPr>
            <w:r>
              <w:rPr>
                <w:rFonts w:hint="eastAsia" w:hAnsi="仿宋" w:eastAsia="仿宋"/>
                <w:sz w:val="24"/>
                <w:szCs w:val="24"/>
              </w:rPr>
              <w:t>助理水产师</w:t>
            </w:r>
          </w:p>
        </w:tc>
        <w:tc>
          <w:tcPr>
            <w:tcW w:w="3848" w:type="dxa"/>
            <w:vAlign w:val="center"/>
          </w:tcPr>
          <w:p w14:paraId="39D5EB74">
            <w:pPr>
              <w:spacing w:line="400" w:lineRule="exact"/>
              <w:contextualSpacing/>
              <w:jc w:val="center"/>
              <w:rPr>
                <w:rFonts w:hint="eastAsia" w:ascii="Times New Roman" w:hAnsi="仿宋" w:eastAsia="仿宋" w:cs="Times New Roman"/>
                <w:kern w:val="2"/>
                <w:sz w:val="24"/>
                <w:szCs w:val="24"/>
                <w:lang w:val="en-US" w:eastAsia="zh-CN" w:bidi="ar-SA"/>
              </w:rPr>
            </w:pPr>
            <w:r>
              <w:rPr>
                <w:rFonts w:hint="eastAsia" w:hAnsi="仿宋" w:eastAsia="仿宋"/>
                <w:sz w:val="24"/>
                <w:szCs w:val="24"/>
              </w:rPr>
              <w:t>江西省农业技术推广中心</w:t>
            </w:r>
          </w:p>
        </w:tc>
        <w:tc>
          <w:tcPr>
            <w:tcW w:w="1477" w:type="dxa"/>
            <w:vAlign w:val="center"/>
          </w:tcPr>
          <w:p w14:paraId="7D409E05">
            <w:pPr>
              <w:spacing w:line="400" w:lineRule="exact"/>
              <w:contextualSpacing/>
              <w:jc w:val="center"/>
              <w:rPr>
                <w:rFonts w:hint="eastAsia" w:ascii="Times New Roman" w:hAnsi="仿宋" w:eastAsia="仿宋" w:cs="Times New Roman"/>
                <w:kern w:val="2"/>
                <w:sz w:val="24"/>
                <w:szCs w:val="24"/>
                <w:lang w:val="en-US" w:eastAsia="zh-CN" w:bidi="ar-SA"/>
              </w:rPr>
            </w:pPr>
            <w:r>
              <w:rPr>
                <w:rFonts w:hint="eastAsia" w:hAnsi="仿宋" w:eastAsia="仿宋"/>
                <w:sz w:val="24"/>
                <w:szCs w:val="24"/>
              </w:rPr>
              <w:t>标准制定</w:t>
            </w:r>
          </w:p>
        </w:tc>
      </w:tr>
      <w:tr w14:paraId="0100B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vAlign w:val="center"/>
          </w:tcPr>
          <w:p w14:paraId="79BDEF89">
            <w:pPr>
              <w:spacing w:line="400" w:lineRule="exact"/>
              <w:contextualSpacing/>
              <w:jc w:val="center"/>
              <w:rPr>
                <w:rFonts w:hint="eastAsia" w:ascii="Times New Roman" w:hAnsi="仿宋" w:eastAsia="仿宋" w:cs="Times New Roman"/>
                <w:kern w:val="2"/>
                <w:sz w:val="24"/>
                <w:szCs w:val="24"/>
                <w:lang w:val="en-US" w:eastAsia="zh-CN" w:bidi="ar-SA"/>
              </w:rPr>
            </w:pPr>
            <w:r>
              <w:rPr>
                <w:rFonts w:hint="eastAsia" w:hAnsi="仿宋" w:eastAsia="仿宋"/>
                <w:sz w:val="24"/>
                <w:szCs w:val="24"/>
              </w:rPr>
              <w:t>刘文玉</w:t>
            </w:r>
          </w:p>
        </w:tc>
        <w:tc>
          <w:tcPr>
            <w:tcW w:w="810" w:type="dxa"/>
            <w:vAlign w:val="center"/>
          </w:tcPr>
          <w:p w14:paraId="692EB219">
            <w:pPr>
              <w:spacing w:line="400" w:lineRule="exact"/>
              <w:contextualSpacing/>
              <w:jc w:val="center"/>
              <w:rPr>
                <w:rFonts w:hint="eastAsia" w:ascii="Times New Roman" w:hAnsi="仿宋" w:eastAsia="仿宋" w:cs="Times New Roman"/>
                <w:kern w:val="2"/>
                <w:sz w:val="24"/>
                <w:szCs w:val="24"/>
                <w:lang w:val="en-US" w:eastAsia="zh-CN" w:bidi="ar-SA"/>
              </w:rPr>
            </w:pPr>
            <w:r>
              <w:rPr>
                <w:rFonts w:hint="eastAsia" w:hAnsi="仿宋" w:eastAsia="仿宋"/>
                <w:sz w:val="24"/>
                <w:szCs w:val="24"/>
              </w:rPr>
              <w:t>男</w:t>
            </w:r>
          </w:p>
        </w:tc>
        <w:tc>
          <w:tcPr>
            <w:tcW w:w="2340" w:type="dxa"/>
            <w:vAlign w:val="center"/>
          </w:tcPr>
          <w:p w14:paraId="348EEA09">
            <w:pPr>
              <w:spacing w:line="400" w:lineRule="exact"/>
              <w:ind w:firstLine="720" w:firstLineChars="300"/>
              <w:contextualSpacing/>
              <w:rPr>
                <w:rFonts w:hint="eastAsia" w:ascii="Times New Roman" w:hAnsi="仿宋" w:eastAsia="仿宋" w:cs="Times New Roman"/>
                <w:kern w:val="2"/>
                <w:sz w:val="24"/>
                <w:szCs w:val="24"/>
                <w:lang w:val="en-US" w:eastAsia="zh-CN" w:bidi="ar-SA"/>
              </w:rPr>
            </w:pPr>
            <w:r>
              <w:rPr>
                <w:rFonts w:hint="eastAsia" w:hAnsi="仿宋" w:eastAsia="仿宋"/>
                <w:sz w:val="24"/>
                <w:szCs w:val="24"/>
              </w:rPr>
              <w:t>高级农艺师</w:t>
            </w:r>
          </w:p>
        </w:tc>
        <w:tc>
          <w:tcPr>
            <w:tcW w:w="3848" w:type="dxa"/>
            <w:vAlign w:val="center"/>
          </w:tcPr>
          <w:p w14:paraId="4D64B9E8">
            <w:pPr>
              <w:spacing w:line="400" w:lineRule="exact"/>
              <w:contextualSpacing/>
              <w:jc w:val="center"/>
              <w:rPr>
                <w:rFonts w:hint="eastAsia" w:ascii="Times New Roman" w:hAnsi="仿宋" w:eastAsia="仿宋" w:cs="Times New Roman"/>
                <w:kern w:val="2"/>
                <w:sz w:val="24"/>
                <w:szCs w:val="24"/>
                <w:lang w:val="en-US" w:eastAsia="zh-CN" w:bidi="ar-SA"/>
              </w:rPr>
            </w:pPr>
            <w:r>
              <w:rPr>
                <w:rFonts w:hint="eastAsia" w:hAnsi="仿宋" w:eastAsia="仿宋"/>
                <w:sz w:val="24"/>
                <w:szCs w:val="24"/>
              </w:rPr>
              <w:t>吉安市农业农村产业发展服务中心</w:t>
            </w:r>
          </w:p>
        </w:tc>
        <w:tc>
          <w:tcPr>
            <w:tcW w:w="1477" w:type="dxa"/>
            <w:vAlign w:val="center"/>
          </w:tcPr>
          <w:p w14:paraId="46FC5E22">
            <w:pPr>
              <w:spacing w:line="400" w:lineRule="exact"/>
              <w:contextualSpacing/>
              <w:jc w:val="center"/>
              <w:rPr>
                <w:rFonts w:hint="eastAsia" w:ascii="Times New Roman" w:hAnsi="仿宋" w:eastAsia="仿宋" w:cs="Times New Roman"/>
                <w:kern w:val="2"/>
                <w:sz w:val="24"/>
                <w:szCs w:val="24"/>
                <w:lang w:val="en-US" w:eastAsia="zh-CN" w:bidi="ar-SA"/>
              </w:rPr>
            </w:pPr>
            <w:r>
              <w:rPr>
                <w:rFonts w:hint="eastAsia" w:hAnsi="仿宋" w:eastAsia="仿宋"/>
                <w:sz w:val="24"/>
                <w:szCs w:val="24"/>
              </w:rPr>
              <w:t>技术推广</w:t>
            </w:r>
          </w:p>
        </w:tc>
      </w:tr>
      <w:tr w14:paraId="37EB8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vAlign w:val="center"/>
          </w:tcPr>
          <w:p w14:paraId="6CFA9DAE">
            <w:pPr>
              <w:spacing w:line="400" w:lineRule="exact"/>
              <w:contextualSpacing/>
              <w:jc w:val="center"/>
              <w:rPr>
                <w:rFonts w:hint="eastAsia" w:ascii="Times New Roman" w:hAnsi="仿宋" w:eastAsia="仿宋" w:cs="Times New Roman"/>
                <w:kern w:val="2"/>
                <w:sz w:val="24"/>
                <w:szCs w:val="24"/>
                <w:lang w:val="en-US" w:eastAsia="zh-CN" w:bidi="ar-SA"/>
              </w:rPr>
            </w:pPr>
            <w:r>
              <w:rPr>
                <w:rFonts w:hint="eastAsia" w:hAnsi="仿宋" w:eastAsia="仿宋"/>
                <w:sz w:val="24"/>
                <w:szCs w:val="24"/>
              </w:rPr>
              <w:t>方磊</w:t>
            </w:r>
          </w:p>
        </w:tc>
        <w:tc>
          <w:tcPr>
            <w:tcW w:w="810" w:type="dxa"/>
            <w:vAlign w:val="center"/>
          </w:tcPr>
          <w:p w14:paraId="78120FC2">
            <w:pPr>
              <w:spacing w:line="400" w:lineRule="exact"/>
              <w:contextualSpacing/>
              <w:jc w:val="center"/>
              <w:rPr>
                <w:rFonts w:hint="eastAsia" w:ascii="Times New Roman" w:hAnsi="仿宋" w:eastAsia="仿宋" w:cs="Times New Roman"/>
                <w:kern w:val="2"/>
                <w:sz w:val="24"/>
                <w:szCs w:val="24"/>
                <w:lang w:val="en-US" w:eastAsia="zh-CN" w:bidi="ar-SA"/>
              </w:rPr>
            </w:pPr>
            <w:r>
              <w:rPr>
                <w:rFonts w:hint="eastAsia" w:hAnsi="仿宋" w:eastAsia="仿宋"/>
                <w:sz w:val="24"/>
                <w:szCs w:val="24"/>
              </w:rPr>
              <w:t>男</w:t>
            </w:r>
          </w:p>
        </w:tc>
        <w:tc>
          <w:tcPr>
            <w:tcW w:w="2340" w:type="dxa"/>
            <w:vAlign w:val="center"/>
          </w:tcPr>
          <w:p w14:paraId="0A0E738C">
            <w:pPr>
              <w:spacing w:line="400" w:lineRule="exact"/>
              <w:ind w:firstLine="720" w:firstLineChars="300"/>
              <w:contextualSpacing/>
              <w:rPr>
                <w:rFonts w:hint="eastAsia" w:ascii="Times New Roman" w:hAnsi="仿宋" w:eastAsia="仿宋" w:cs="Times New Roman"/>
                <w:kern w:val="2"/>
                <w:sz w:val="24"/>
                <w:szCs w:val="24"/>
                <w:lang w:val="en-US" w:eastAsia="zh-CN" w:bidi="ar-SA"/>
              </w:rPr>
            </w:pPr>
            <w:r>
              <w:rPr>
                <w:rFonts w:hint="eastAsia" w:hAnsi="仿宋" w:eastAsia="仿宋"/>
                <w:sz w:val="24"/>
                <w:szCs w:val="24"/>
              </w:rPr>
              <w:t>水产师</w:t>
            </w:r>
          </w:p>
        </w:tc>
        <w:tc>
          <w:tcPr>
            <w:tcW w:w="3848" w:type="dxa"/>
            <w:vAlign w:val="center"/>
          </w:tcPr>
          <w:p w14:paraId="659C624C">
            <w:pPr>
              <w:spacing w:line="400" w:lineRule="exact"/>
              <w:contextualSpacing/>
              <w:jc w:val="center"/>
              <w:rPr>
                <w:rFonts w:hint="eastAsia" w:ascii="Times New Roman" w:hAnsi="仿宋" w:eastAsia="仿宋" w:cs="Times New Roman"/>
                <w:kern w:val="2"/>
                <w:sz w:val="24"/>
                <w:szCs w:val="24"/>
                <w:lang w:val="en-US" w:eastAsia="zh-CN" w:bidi="ar-SA"/>
              </w:rPr>
            </w:pPr>
            <w:r>
              <w:rPr>
                <w:rFonts w:hint="eastAsia" w:hAnsi="仿宋" w:eastAsia="仿宋"/>
                <w:sz w:val="24"/>
                <w:szCs w:val="24"/>
              </w:rPr>
              <w:t>九江市农业科学院</w:t>
            </w:r>
          </w:p>
        </w:tc>
        <w:tc>
          <w:tcPr>
            <w:tcW w:w="1477" w:type="dxa"/>
            <w:vAlign w:val="center"/>
          </w:tcPr>
          <w:p w14:paraId="200999E2">
            <w:pPr>
              <w:spacing w:line="400" w:lineRule="exact"/>
              <w:contextualSpacing/>
              <w:jc w:val="center"/>
              <w:rPr>
                <w:rFonts w:hint="eastAsia" w:ascii="Times New Roman" w:hAnsi="仿宋" w:eastAsia="仿宋" w:cs="Times New Roman"/>
                <w:kern w:val="2"/>
                <w:sz w:val="24"/>
                <w:szCs w:val="24"/>
                <w:lang w:val="en-US" w:eastAsia="zh-CN" w:bidi="ar-SA"/>
              </w:rPr>
            </w:pPr>
            <w:r>
              <w:rPr>
                <w:rFonts w:hint="eastAsia" w:hAnsi="仿宋" w:eastAsia="仿宋"/>
                <w:sz w:val="24"/>
                <w:szCs w:val="24"/>
              </w:rPr>
              <w:t>技术研发</w:t>
            </w:r>
          </w:p>
        </w:tc>
      </w:tr>
      <w:tr w14:paraId="0F5D2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vAlign w:val="center"/>
          </w:tcPr>
          <w:p w14:paraId="28F62739">
            <w:pPr>
              <w:spacing w:line="400" w:lineRule="exact"/>
              <w:contextualSpacing/>
              <w:jc w:val="center"/>
              <w:rPr>
                <w:rFonts w:ascii="Times New Roman" w:hAnsi="仿宋" w:eastAsia="仿宋" w:cs="Times New Roman"/>
                <w:kern w:val="2"/>
                <w:sz w:val="24"/>
                <w:szCs w:val="24"/>
                <w:lang w:val="en-US" w:eastAsia="zh-CN" w:bidi="ar-SA"/>
              </w:rPr>
            </w:pPr>
            <w:r>
              <w:rPr>
                <w:rFonts w:hint="eastAsia" w:hAnsi="仿宋" w:eastAsia="仿宋"/>
                <w:sz w:val="24"/>
                <w:szCs w:val="24"/>
              </w:rPr>
              <w:t>张锦波</w:t>
            </w:r>
          </w:p>
        </w:tc>
        <w:tc>
          <w:tcPr>
            <w:tcW w:w="810" w:type="dxa"/>
            <w:vAlign w:val="center"/>
          </w:tcPr>
          <w:p w14:paraId="665D4666">
            <w:pPr>
              <w:spacing w:line="400" w:lineRule="exact"/>
              <w:contextualSpacing/>
              <w:jc w:val="center"/>
              <w:rPr>
                <w:rFonts w:ascii="Times New Roman" w:hAnsi="仿宋" w:eastAsia="仿宋" w:cs="Times New Roman"/>
                <w:kern w:val="2"/>
                <w:sz w:val="24"/>
                <w:szCs w:val="24"/>
                <w:lang w:val="en-US" w:eastAsia="zh-CN" w:bidi="ar-SA"/>
              </w:rPr>
            </w:pPr>
            <w:r>
              <w:rPr>
                <w:rFonts w:hint="eastAsia" w:hAnsi="仿宋" w:eastAsia="仿宋"/>
                <w:sz w:val="24"/>
                <w:szCs w:val="24"/>
              </w:rPr>
              <w:t>男</w:t>
            </w:r>
          </w:p>
        </w:tc>
        <w:tc>
          <w:tcPr>
            <w:tcW w:w="2340" w:type="dxa"/>
            <w:vAlign w:val="center"/>
          </w:tcPr>
          <w:p w14:paraId="1A62A52A">
            <w:pPr>
              <w:spacing w:line="400" w:lineRule="exact"/>
              <w:contextualSpacing/>
              <w:jc w:val="center"/>
              <w:rPr>
                <w:rFonts w:ascii="Times New Roman" w:hAnsi="仿宋" w:eastAsia="仿宋" w:cs="Times New Roman"/>
                <w:kern w:val="2"/>
                <w:sz w:val="24"/>
                <w:szCs w:val="24"/>
                <w:lang w:val="en-US" w:eastAsia="zh-CN" w:bidi="ar-SA"/>
              </w:rPr>
            </w:pPr>
            <w:r>
              <w:rPr>
                <w:rFonts w:hint="eastAsia" w:hAnsi="仿宋" w:eastAsia="仿宋"/>
                <w:sz w:val="24"/>
                <w:szCs w:val="24"/>
              </w:rPr>
              <w:t>助理水产师</w:t>
            </w:r>
          </w:p>
        </w:tc>
        <w:tc>
          <w:tcPr>
            <w:tcW w:w="3848" w:type="dxa"/>
            <w:vAlign w:val="center"/>
          </w:tcPr>
          <w:p w14:paraId="57132293">
            <w:pPr>
              <w:spacing w:line="400" w:lineRule="exact"/>
              <w:contextualSpacing/>
              <w:jc w:val="center"/>
              <w:rPr>
                <w:rFonts w:ascii="Times New Roman" w:hAnsi="仿宋" w:eastAsia="仿宋" w:cs="Times New Roman"/>
                <w:kern w:val="2"/>
                <w:sz w:val="24"/>
                <w:szCs w:val="24"/>
                <w:lang w:val="en-US" w:eastAsia="zh-CN" w:bidi="ar-SA"/>
              </w:rPr>
            </w:pPr>
            <w:r>
              <w:rPr>
                <w:rFonts w:hint="eastAsia" w:hAnsi="仿宋" w:eastAsia="仿宋"/>
                <w:sz w:val="24"/>
                <w:szCs w:val="24"/>
              </w:rPr>
              <w:t>江西省农业技术推广中心</w:t>
            </w:r>
          </w:p>
        </w:tc>
        <w:tc>
          <w:tcPr>
            <w:tcW w:w="1477" w:type="dxa"/>
            <w:vAlign w:val="center"/>
          </w:tcPr>
          <w:p w14:paraId="2BD6E99E">
            <w:pPr>
              <w:spacing w:line="400" w:lineRule="exact"/>
              <w:contextualSpacing/>
              <w:jc w:val="center"/>
              <w:rPr>
                <w:rFonts w:ascii="Times New Roman" w:hAnsi="仿宋" w:eastAsia="仿宋" w:cs="Times New Roman"/>
                <w:kern w:val="2"/>
                <w:sz w:val="24"/>
                <w:szCs w:val="24"/>
                <w:lang w:val="en-US" w:eastAsia="zh-CN" w:bidi="ar-SA"/>
              </w:rPr>
            </w:pPr>
            <w:r>
              <w:rPr>
                <w:rFonts w:hint="eastAsia" w:hAnsi="仿宋" w:eastAsia="仿宋"/>
                <w:sz w:val="24"/>
                <w:szCs w:val="24"/>
              </w:rPr>
              <w:t>意见收集</w:t>
            </w:r>
          </w:p>
        </w:tc>
      </w:tr>
      <w:tr w14:paraId="2601A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vAlign w:val="center"/>
          </w:tcPr>
          <w:p w14:paraId="0110DBFD">
            <w:pPr>
              <w:spacing w:line="400" w:lineRule="exact"/>
              <w:contextualSpacing/>
              <w:jc w:val="center"/>
              <w:rPr>
                <w:rFonts w:hint="eastAsia" w:ascii="Times New Roman" w:hAnsi="仿宋" w:eastAsia="仿宋" w:cs="Times New Roman"/>
                <w:kern w:val="2"/>
                <w:sz w:val="24"/>
                <w:szCs w:val="24"/>
                <w:lang w:val="en-US" w:eastAsia="zh-CN" w:bidi="ar-SA"/>
              </w:rPr>
            </w:pPr>
            <w:r>
              <w:rPr>
                <w:rFonts w:hint="eastAsia" w:hAnsi="仿宋" w:eastAsia="仿宋"/>
                <w:sz w:val="24"/>
                <w:szCs w:val="24"/>
              </w:rPr>
              <w:t>裴建明</w:t>
            </w:r>
          </w:p>
        </w:tc>
        <w:tc>
          <w:tcPr>
            <w:tcW w:w="810" w:type="dxa"/>
            <w:vAlign w:val="center"/>
          </w:tcPr>
          <w:p w14:paraId="336F55DC">
            <w:pPr>
              <w:spacing w:line="400" w:lineRule="exact"/>
              <w:contextualSpacing/>
              <w:jc w:val="center"/>
              <w:rPr>
                <w:rFonts w:hint="eastAsia" w:ascii="Times New Roman" w:hAnsi="仿宋" w:eastAsia="仿宋" w:cs="Times New Roman"/>
                <w:kern w:val="2"/>
                <w:sz w:val="24"/>
                <w:szCs w:val="24"/>
                <w:lang w:val="en-US" w:eastAsia="zh-CN" w:bidi="ar-SA"/>
              </w:rPr>
            </w:pPr>
            <w:r>
              <w:rPr>
                <w:rFonts w:hint="eastAsia" w:hAnsi="仿宋" w:eastAsia="仿宋"/>
                <w:sz w:val="24"/>
                <w:szCs w:val="24"/>
              </w:rPr>
              <w:t>男</w:t>
            </w:r>
          </w:p>
        </w:tc>
        <w:tc>
          <w:tcPr>
            <w:tcW w:w="2340" w:type="dxa"/>
            <w:vAlign w:val="center"/>
          </w:tcPr>
          <w:p w14:paraId="22C7CF3A">
            <w:pPr>
              <w:spacing w:line="400" w:lineRule="exact"/>
              <w:contextualSpacing/>
              <w:jc w:val="center"/>
              <w:rPr>
                <w:rFonts w:hint="eastAsia" w:ascii="Times New Roman" w:hAnsi="仿宋" w:eastAsia="仿宋" w:cs="Times New Roman"/>
                <w:kern w:val="2"/>
                <w:sz w:val="24"/>
                <w:szCs w:val="24"/>
                <w:lang w:val="en-US" w:eastAsia="zh-CN" w:bidi="ar-SA"/>
              </w:rPr>
            </w:pPr>
            <w:r>
              <w:rPr>
                <w:rFonts w:hint="eastAsia" w:hAnsi="仿宋" w:eastAsia="仿宋"/>
                <w:sz w:val="24"/>
                <w:szCs w:val="24"/>
              </w:rPr>
              <w:t>工程师</w:t>
            </w:r>
          </w:p>
        </w:tc>
        <w:tc>
          <w:tcPr>
            <w:tcW w:w="3848" w:type="dxa"/>
            <w:vAlign w:val="center"/>
          </w:tcPr>
          <w:p w14:paraId="6D66C3D9">
            <w:pPr>
              <w:spacing w:line="400" w:lineRule="exact"/>
              <w:contextualSpacing/>
              <w:jc w:val="center"/>
              <w:rPr>
                <w:rFonts w:hint="eastAsia" w:ascii="Times New Roman" w:hAnsi="仿宋" w:eastAsia="仿宋" w:cs="Times New Roman"/>
                <w:kern w:val="2"/>
                <w:sz w:val="24"/>
                <w:szCs w:val="24"/>
                <w:lang w:val="en-US" w:eastAsia="zh-CN" w:bidi="ar-SA"/>
              </w:rPr>
            </w:pPr>
            <w:r>
              <w:rPr>
                <w:rFonts w:hint="eastAsia" w:hAnsi="仿宋" w:eastAsia="仿宋"/>
                <w:sz w:val="24"/>
                <w:szCs w:val="24"/>
              </w:rPr>
              <w:t>江西省农业技术推广中心</w:t>
            </w:r>
          </w:p>
        </w:tc>
        <w:tc>
          <w:tcPr>
            <w:tcW w:w="1477" w:type="dxa"/>
            <w:vAlign w:val="center"/>
          </w:tcPr>
          <w:p w14:paraId="7B0BD698">
            <w:pPr>
              <w:spacing w:line="400" w:lineRule="exact"/>
              <w:contextualSpacing/>
              <w:jc w:val="center"/>
              <w:rPr>
                <w:rFonts w:hint="eastAsia" w:ascii="Times New Roman" w:hAnsi="仿宋" w:eastAsia="仿宋" w:cs="Times New Roman"/>
                <w:kern w:val="2"/>
                <w:sz w:val="24"/>
                <w:szCs w:val="24"/>
                <w:lang w:val="en-US" w:eastAsia="zh-CN" w:bidi="ar-SA"/>
              </w:rPr>
            </w:pPr>
            <w:r>
              <w:rPr>
                <w:rFonts w:hint="eastAsia" w:hAnsi="仿宋" w:eastAsia="仿宋"/>
                <w:sz w:val="24"/>
                <w:szCs w:val="24"/>
              </w:rPr>
              <w:t>技术指导</w:t>
            </w:r>
          </w:p>
        </w:tc>
      </w:tr>
      <w:tr w14:paraId="36454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vAlign w:val="center"/>
          </w:tcPr>
          <w:p w14:paraId="68972AE3">
            <w:pPr>
              <w:spacing w:line="400" w:lineRule="exact"/>
              <w:contextualSpacing/>
              <w:jc w:val="center"/>
              <w:rPr>
                <w:rFonts w:hint="eastAsia" w:hAnsi="仿宋" w:eastAsia="仿宋"/>
                <w:sz w:val="24"/>
                <w:szCs w:val="24"/>
                <w:lang w:eastAsia="zh-CN"/>
              </w:rPr>
            </w:pPr>
            <w:r>
              <w:rPr>
                <w:rFonts w:hint="eastAsia" w:hAnsi="仿宋" w:eastAsia="仿宋"/>
                <w:sz w:val="24"/>
                <w:szCs w:val="24"/>
                <w:lang w:eastAsia="zh-CN"/>
              </w:rPr>
              <w:t>林锋</w:t>
            </w:r>
          </w:p>
        </w:tc>
        <w:tc>
          <w:tcPr>
            <w:tcW w:w="810" w:type="dxa"/>
            <w:vAlign w:val="center"/>
          </w:tcPr>
          <w:p w14:paraId="3D34784E">
            <w:pPr>
              <w:spacing w:line="400" w:lineRule="exact"/>
              <w:contextualSpacing/>
              <w:jc w:val="center"/>
              <w:rPr>
                <w:rFonts w:hint="eastAsia" w:hAnsi="仿宋" w:eastAsia="仿宋"/>
                <w:sz w:val="24"/>
                <w:szCs w:val="24"/>
                <w:lang w:eastAsia="zh-CN"/>
              </w:rPr>
            </w:pPr>
            <w:r>
              <w:rPr>
                <w:rFonts w:hint="eastAsia" w:hAnsi="仿宋" w:eastAsia="仿宋"/>
                <w:sz w:val="24"/>
                <w:szCs w:val="24"/>
                <w:lang w:eastAsia="zh-CN"/>
              </w:rPr>
              <w:t>男</w:t>
            </w:r>
          </w:p>
        </w:tc>
        <w:tc>
          <w:tcPr>
            <w:tcW w:w="2340" w:type="dxa"/>
            <w:vAlign w:val="center"/>
          </w:tcPr>
          <w:p w14:paraId="46E149D3">
            <w:pPr>
              <w:spacing w:line="400" w:lineRule="exact"/>
              <w:contextualSpacing/>
              <w:jc w:val="center"/>
              <w:rPr>
                <w:rFonts w:hint="eastAsia" w:hAnsi="仿宋" w:eastAsia="仿宋"/>
                <w:sz w:val="24"/>
                <w:szCs w:val="24"/>
                <w:lang w:val="en" w:eastAsia="zh-CN"/>
              </w:rPr>
            </w:pPr>
            <w:r>
              <w:rPr>
                <w:rFonts w:hint="eastAsia" w:hAnsi="仿宋" w:eastAsia="仿宋"/>
                <w:sz w:val="24"/>
                <w:szCs w:val="24"/>
                <w:lang w:val="en" w:eastAsia="zh-CN"/>
              </w:rPr>
              <w:t>副研究员</w:t>
            </w:r>
          </w:p>
        </w:tc>
        <w:tc>
          <w:tcPr>
            <w:tcW w:w="3848" w:type="dxa"/>
            <w:vAlign w:val="center"/>
          </w:tcPr>
          <w:p w14:paraId="0C48440A">
            <w:pPr>
              <w:spacing w:line="400" w:lineRule="exact"/>
              <w:contextualSpacing/>
              <w:jc w:val="center"/>
              <w:rPr>
                <w:rFonts w:hint="eastAsia" w:hAnsi="仿宋" w:eastAsia="仿宋"/>
                <w:sz w:val="24"/>
                <w:szCs w:val="24"/>
                <w:lang w:eastAsia="zh-CN"/>
              </w:rPr>
            </w:pPr>
            <w:r>
              <w:rPr>
                <w:rFonts w:hint="eastAsia" w:hAnsi="仿宋" w:eastAsia="仿宋"/>
                <w:sz w:val="24"/>
                <w:szCs w:val="24"/>
                <w:lang w:eastAsia="zh-CN"/>
              </w:rPr>
              <w:t>浙江省淡水水产研究所</w:t>
            </w:r>
          </w:p>
        </w:tc>
        <w:tc>
          <w:tcPr>
            <w:tcW w:w="1477" w:type="dxa"/>
            <w:vAlign w:val="center"/>
          </w:tcPr>
          <w:p w14:paraId="1426A158">
            <w:pPr>
              <w:spacing w:line="400" w:lineRule="exact"/>
              <w:contextualSpacing/>
              <w:jc w:val="center"/>
              <w:rPr>
                <w:rFonts w:hint="eastAsia" w:hAnsi="仿宋" w:eastAsia="仿宋"/>
                <w:sz w:val="24"/>
                <w:szCs w:val="24"/>
                <w:lang w:eastAsia="zh-CN"/>
              </w:rPr>
            </w:pPr>
            <w:r>
              <w:rPr>
                <w:rFonts w:hint="eastAsia" w:hAnsi="仿宋" w:eastAsia="仿宋"/>
                <w:sz w:val="24"/>
                <w:szCs w:val="24"/>
                <w:lang w:eastAsia="zh-CN"/>
              </w:rPr>
              <w:t>技术指导</w:t>
            </w:r>
          </w:p>
        </w:tc>
      </w:tr>
      <w:tr w14:paraId="5296C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vAlign w:val="center"/>
          </w:tcPr>
          <w:p w14:paraId="756AA228">
            <w:pPr>
              <w:spacing w:line="400" w:lineRule="exact"/>
              <w:contextualSpacing/>
              <w:jc w:val="center"/>
              <w:rPr>
                <w:rFonts w:ascii="Times New Roman" w:hAnsi="仿宋" w:eastAsia="仿宋" w:cs="Times New Roman"/>
                <w:kern w:val="2"/>
                <w:sz w:val="24"/>
                <w:szCs w:val="24"/>
                <w:lang w:val="en-US" w:eastAsia="zh-CN" w:bidi="ar-SA"/>
              </w:rPr>
            </w:pPr>
            <w:r>
              <w:rPr>
                <w:rFonts w:hint="eastAsia" w:hAnsi="仿宋" w:eastAsia="仿宋"/>
                <w:sz w:val="24"/>
                <w:szCs w:val="24"/>
              </w:rPr>
              <w:t>刘文珍</w:t>
            </w:r>
          </w:p>
        </w:tc>
        <w:tc>
          <w:tcPr>
            <w:tcW w:w="810" w:type="dxa"/>
            <w:vAlign w:val="center"/>
          </w:tcPr>
          <w:p w14:paraId="540FDF33">
            <w:pPr>
              <w:spacing w:line="400" w:lineRule="exact"/>
              <w:contextualSpacing/>
              <w:jc w:val="center"/>
              <w:rPr>
                <w:rFonts w:ascii="Times New Roman" w:hAnsi="仿宋" w:eastAsia="仿宋" w:cs="Times New Roman"/>
                <w:kern w:val="2"/>
                <w:sz w:val="24"/>
                <w:szCs w:val="24"/>
                <w:lang w:val="en-US" w:eastAsia="zh-CN" w:bidi="ar-SA"/>
              </w:rPr>
            </w:pPr>
            <w:r>
              <w:rPr>
                <w:rFonts w:hint="eastAsia" w:hAnsi="仿宋" w:eastAsia="仿宋"/>
                <w:sz w:val="24"/>
                <w:szCs w:val="24"/>
              </w:rPr>
              <w:t>女</w:t>
            </w:r>
          </w:p>
        </w:tc>
        <w:tc>
          <w:tcPr>
            <w:tcW w:w="2340" w:type="dxa"/>
            <w:vAlign w:val="center"/>
          </w:tcPr>
          <w:p w14:paraId="6138CC61">
            <w:pPr>
              <w:spacing w:line="400" w:lineRule="exact"/>
              <w:ind w:firstLine="480" w:firstLineChars="200"/>
              <w:contextualSpacing/>
              <w:rPr>
                <w:rFonts w:ascii="Times New Roman" w:hAnsi="仿宋" w:eastAsia="仿宋" w:cs="Times New Roman"/>
                <w:kern w:val="2"/>
                <w:sz w:val="24"/>
                <w:szCs w:val="24"/>
                <w:lang w:val="en-US" w:eastAsia="zh-CN" w:bidi="ar-SA"/>
              </w:rPr>
            </w:pPr>
            <w:r>
              <w:rPr>
                <w:rFonts w:hint="eastAsia" w:hAnsi="仿宋" w:eastAsia="仿宋"/>
                <w:sz w:val="24"/>
                <w:szCs w:val="24"/>
              </w:rPr>
              <w:t>高级水产师</w:t>
            </w:r>
          </w:p>
        </w:tc>
        <w:tc>
          <w:tcPr>
            <w:tcW w:w="3848" w:type="dxa"/>
            <w:vAlign w:val="center"/>
          </w:tcPr>
          <w:p w14:paraId="32E3F8E2">
            <w:pPr>
              <w:spacing w:line="400" w:lineRule="exact"/>
              <w:contextualSpacing/>
              <w:jc w:val="center"/>
              <w:rPr>
                <w:rFonts w:ascii="Times New Roman" w:hAnsi="仿宋" w:eastAsia="仿宋" w:cs="Times New Roman"/>
                <w:kern w:val="2"/>
                <w:sz w:val="24"/>
                <w:szCs w:val="24"/>
                <w:lang w:val="en-US" w:eastAsia="zh-CN" w:bidi="ar-SA"/>
              </w:rPr>
            </w:pPr>
            <w:r>
              <w:rPr>
                <w:rFonts w:hint="eastAsia" w:hAnsi="仿宋" w:eastAsia="仿宋"/>
                <w:sz w:val="24"/>
                <w:szCs w:val="24"/>
              </w:rPr>
              <w:t>江西省农业技术推广中心</w:t>
            </w:r>
          </w:p>
        </w:tc>
        <w:tc>
          <w:tcPr>
            <w:tcW w:w="1477" w:type="dxa"/>
            <w:vAlign w:val="center"/>
          </w:tcPr>
          <w:p w14:paraId="56C71743">
            <w:pPr>
              <w:spacing w:line="400" w:lineRule="exact"/>
              <w:contextualSpacing/>
              <w:jc w:val="center"/>
              <w:rPr>
                <w:rFonts w:ascii="Times New Roman" w:hAnsi="仿宋" w:eastAsia="仿宋" w:cs="Times New Roman"/>
                <w:kern w:val="2"/>
                <w:sz w:val="24"/>
                <w:szCs w:val="24"/>
                <w:lang w:val="en-US" w:eastAsia="zh-CN" w:bidi="ar-SA"/>
              </w:rPr>
            </w:pPr>
            <w:r>
              <w:rPr>
                <w:rFonts w:hint="eastAsia" w:hAnsi="仿宋" w:eastAsia="仿宋"/>
                <w:sz w:val="24"/>
                <w:szCs w:val="24"/>
              </w:rPr>
              <w:t>标准制定</w:t>
            </w:r>
          </w:p>
        </w:tc>
      </w:tr>
      <w:tr w14:paraId="46573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vAlign w:val="center"/>
          </w:tcPr>
          <w:p w14:paraId="6D43931C">
            <w:pPr>
              <w:spacing w:line="400" w:lineRule="exact"/>
              <w:contextualSpacing/>
              <w:jc w:val="center"/>
              <w:rPr>
                <w:rFonts w:ascii="Times New Roman" w:hAnsi="仿宋" w:eastAsia="仿宋" w:cs="Times New Roman"/>
                <w:kern w:val="2"/>
                <w:sz w:val="24"/>
                <w:szCs w:val="24"/>
                <w:lang w:val="en-US" w:eastAsia="zh-CN" w:bidi="ar-SA"/>
              </w:rPr>
            </w:pPr>
            <w:r>
              <w:rPr>
                <w:rFonts w:hint="eastAsia" w:hAnsi="仿宋" w:eastAsia="仿宋" w:cs="Times New Roman"/>
                <w:kern w:val="2"/>
                <w:sz w:val="24"/>
                <w:szCs w:val="24"/>
                <w:lang w:val="en-US" w:eastAsia="zh-CN" w:bidi="ar-SA"/>
              </w:rPr>
              <w:t>谢颖</w:t>
            </w:r>
          </w:p>
        </w:tc>
        <w:tc>
          <w:tcPr>
            <w:tcW w:w="810" w:type="dxa"/>
            <w:vAlign w:val="center"/>
          </w:tcPr>
          <w:p w14:paraId="3FEA7316">
            <w:pPr>
              <w:spacing w:line="400" w:lineRule="exact"/>
              <w:contextualSpacing/>
              <w:jc w:val="center"/>
              <w:rPr>
                <w:rFonts w:ascii="Times New Roman" w:hAnsi="仿宋" w:eastAsia="仿宋" w:cs="Times New Roman"/>
                <w:kern w:val="2"/>
                <w:sz w:val="24"/>
                <w:szCs w:val="24"/>
                <w:lang w:val="en-US" w:eastAsia="zh-CN" w:bidi="ar-SA"/>
              </w:rPr>
            </w:pPr>
            <w:r>
              <w:rPr>
                <w:rFonts w:hint="eastAsia" w:hAnsi="仿宋" w:eastAsia="仿宋" w:cs="Times New Roman"/>
                <w:kern w:val="2"/>
                <w:sz w:val="24"/>
                <w:szCs w:val="24"/>
                <w:lang w:val="en-US" w:eastAsia="zh-CN" w:bidi="ar-SA"/>
              </w:rPr>
              <w:t>女</w:t>
            </w:r>
          </w:p>
        </w:tc>
        <w:tc>
          <w:tcPr>
            <w:tcW w:w="2340" w:type="dxa"/>
            <w:vAlign w:val="center"/>
          </w:tcPr>
          <w:p w14:paraId="2EF363B6">
            <w:pPr>
              <w:spacing w:line="400" w:lineRule="exact"/>
              <w:contextualSpacing/>
              <w:jc w:val="center"/>
              <w:rPr>
                <w:rFonts w:ascii="Times New Roman" w:hAnsi="仿宋" w:eastAsia="仿宋" w:cs="Times New Roman"/>
                <w:kern w:val="2"/>
                <w:sz w:val="24"/>
                <w:szCs w:val="24"/>
                <w:lang w:val="en-US" w:eastAsia="zh-CN" w:bidi="ar-SA"/>
              </w:rPr>
            </w:pPr>
            <w:r>
              <w:rPr>
                <w:rFonts w:hint="eastAsia" w:hAnsi="仿宋" w:eastAsia="仿宋" w:cs="Times New Roman"/>
                <w:kern w:val="2"/>
                <w:sz w:val="24"/>
                <w:szCs w:val="24"/>
                <w:lang w:val="en-US" w:eastAsia="zh-CN" w:bidi="ar-SA"/>
              </w:rPr>
              <w:t>干部</w:t>
            </w:r>
          </w:p>
        </w:tc>
        <w:tc>
          <w:tcPr>
            <w:tcW w:w="3848" w:type="dxa"/>
            <w:vAlign w:val="center"/>
          </w:tcPr>
          <w:p w14:paraId="5F56F99F">
            <w:pPr>
              <w:spacing w:line="400" w:lineRule="exact"/>
              <w:contextualSpacing/>
              <w:jc w:val="center"/>
              <w:rPr>
                <w:rFonts w:ascii="Times New Roman" w:hAnsi="仿宋" w:eastAsia="仿宋" w:cs="Times New Roman"/>
                <w:kern w:val="2"/>
                <w:sz w:val="24"/>
                <w:szCs w:val="24"/>
                <w:lang w:val="en-US" w:eastAsia="zh-CN" w:bidi="ar-SA"/>
              </w:rPr>
            </w:pPr>
            <w:r>
              <w:rPr>
                <w:rFonts w:hint="eastAsia" w:hAnsi="仿宋" w:eastAsia="仿宋"/>
                <w:sz w:val="24"/>
                <w:szCs w:val="24"/>
              </w:rPr>
              <w:t>江西省农业技术推广中心</w:t>
            </w:r>
          </w:p>
        </w:tc>
        <w:tc>
          <w:tcPr>
            <w:tcW w:w="1477" w:type="dxa"/>
            <w:vAlign w:val="center"/>
          </w:tcPr>
          <w:p w14:paraId="365C24B1">
            <w:pPr>
              <w:spacing w:line="400" w:lineRule="exact"/>
              <w:contextualSpacing/>
              <w:jc w:val="center"/>
              <w:rPr>
                <w:rFonts w:ascii="Times New Roman" w:hAnsi="仿宋" w:eastAsia="仿宋" w:cs="Times New Roman"/>
                <w:kern w:val="2"/>
                <w:sz w:val="24"/>
                <w:szCs w:val="24"/>
                <w:lang w:val="en-US" w:eastAsia="zh-CN" w:bidi="ar-SA"/>
              </w:rPr>
            </w:pPr>
            <w:r>
              <w:rPr>
                <w:rFonts w:hint="eastAsia" w:hAnsi="仿宋" w:eastAsia="仿宋" w:cs="Times New Roman"/>
                <w:kern w:val="2"/>
                <w:sz w:val="24"/>
                <w:szCs w:val="24"/>
                <w:lang w:val="en-US" w:eastAsia="zh-CN" w:bidi="ar-SA"/>
              </w:rPr>
              <w:t>标准制定</w:t>
            </w:r>
          </w:p>
        </w:tc>
      </w:tr>
      <w:tr w14:paraId="1D870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vAlign w:val="center"/>
          </w:tcPr>
          <w:p w14:paraId="1B47C49A">
            <w:pPr>
              <w:spacing w:line="400" w:lineRule="exact"/>
              <w:contextualSpacing/>
              <w:jc w:val="center"/>
              <w:rPr>
                <w:rFonts w:hint="eastAsia" w:hAnsi="仿宋" w:eastAsia="仿宋" w:cs="Times New Roman"/>
                <w:kern w:val="2"/>
                <w:sz w:val="24"/>
                <w:szCs w:val="24"/>
                <w:lang w:val="en-US" w:eastAsia="zh-CN" w:bidi="ar-SA"/>
              </w:rPr>
            </w:pPr>
            <w:r>
              <w:rPr>
                <w:rFonts w:hint="eastAsia" w:hAnsi="仿宋" w:eastAsia="仿宋" w:cs="Times New Roman"/>
                <w:kern w:val="2"/>
                <w:sz w:val="24"/>
                <w:szCs w:val="24"/>
                <w:lang w:val="en-US" w:eastAsia="zh-CN" w:bidi="ar-SA"/>
              </w:rPr>
              <w:t>傅红梅</w:t>
            </w:r>
          </w:p>
        </w:tc>
        <w:tc>
          <w:tcPr>
            <w:tcW w:w="810" w:type="dxa"/>
            <w:vAlign w:val="center"/>
          </w:tcPr>
          <w:p w14:paraId="635D9179">
            <w:pPr>
              <w:spacing w:line="400" w:lineRule="exact"/>
              <w:contextualSpacing/>
              <w:jc w:val="center"/>
              <w:rPr>
                <w:rFonts w:hint="eastAsia" w:hAnsi="仿宋" w:eastAsia="仿宋" w:cs="Times New Roman"/>
                <w:kern w:val="2"/>
                <w:sz w:val="24"/>
                <w:szCs w:val="24"/>
                <w:lang w:val="en-US" w:eastAsia="zh-CN" w:bidi="ar-SA"/>
              </w:rPr>
            </w:pPr>
            <w:r>
              <w:rPr>
                <w:rFonts w:hint="eastAsia" w:hAnsi="仿宋" w:eastAsia="仿宋" w:cs="Times New Roman"/>
                <w:kern w:val="2"/>
                <w:sz w:val="24"/>
                <w:szCs w:val="24"/>
                <w:lang w:val="en-US" w:eastAsia="zh-CN" w:bidi="ar-SA"/>
              </w:rPr>
              <w:t>女</w:t>
            </w:r>
          </w:p>
        </w:tc>
        <w:tc>
          <w:tcPr>
            <w:tcW w:w="2340" w:type="dxa"/>
            <w:vAlign w:val="center"/>
          </w:tcPr>
          <w:p w14:paraId="17BB7B15">
            <w:pPr>
              <w:spacing w:line="400" w:lineRule="exact"/>
              <w:contextualSpacing/>
              <w:jc w:val="center"/>
              <w:rPr>
                <w:rFonts w:hint="eastAsia" w:hAnsi="仿宋" w:eastAsia="仿宋" w:cs="Times New Roman"/>
                <w:kern w:val="2"/>
                <w:sz w:val="24"/>
                <w:szCs w:val="24"/>
                <w:lang w:val="en-US" w:eastAsia="zh-CN" w:bidi="ar-SA"/>
              </w:rPr>
            </w:pPr>
            <w:r>
              <w:rPr>
                <w:rFonts w:hint="eastAsia" w:hAnsi="仿宋" w:eastAsia="仿宋" w:cs="Times New Roman"/>
                <w:kern w:val="2"/>
                <w:sz w:val="24"/>
                <w:szCs w:val="24"/>
                <w:lang w:val="en-US" w:eastAsia="zh-CN" w:bidi="ar-SA"/>
              </w:rPr>
              <w:t>水产师</w:t>
            </w:r>
          </w:p>
        </w:tc>
        <w:tc>
          <w:tcPr>
            <w:tcW w:w="3848" w:type="dxa"/>
            <w:vAlign w:val="center"/>
          </w:tcPr>
          <w:p w14:paraId="7E7D029D">
            <w:pPr>
              <w:spacing w:line="400" w:lineRule="exact"/>
              <w:contextualSpacing/>
              <w:jc w:val="center"/>
              <w:rPr>
                <w:rFonts w:hint="eastAsia" w:hAnsi="仿宋" w:eastAsia="仿宋"/>
                <w:sz w:val="24"/>
                <w:szCs w:val="24"/>
                <w:lang w:eastAsia="zh-CN"/>
              </w:rPr>
            </w:pPr>
            <w:r>
              <w:rPr>
                <w:rFonts w:hint="eastAsia" w:hAnsi="仿宋" w:eastAsia="仿宋"/>
                <w:sz w:val="24"/>
                <w:szCs w:val="24"/>
                <w:lang w:eastAsia="zh-CN"/>
              </w:rPr>
              <w:t>吉安市农业农村产业发展服务中心</w:t>
            </w:r>
          </w:p>
        </w:tc>
        <w:tc>
          <w:tcPr>
            <w:tcW w:w="1477" w:type="dxa"/>
            <w:vAlign w:val="center"/>
          </w:tcPr>
          <w:p w14:paraId="06351107">
            <w:pPr>
              <w:spacing w:line="400" w:lineRule="exact"/>
              <w:contextualSpacing/>
              <w:jc w:val="center"/>
              <w:rPr>
                <w:rFonts w:hint="eastAsia" w:hAnsi="仿宋" w:eastAsia="仿宋" w:cs="Times New Roman"/>
                <w:kern w:val="2"/>
                <w:sz w:val="24"/>
                <w:szCs w:val="24"/>
                <w:lang w:val="en-US" w:eastAsia="zh-CN" w:bidi="ar-SA"/>
              </w:rPr>
            </w:pPr>
            <w:r>
              <w:rPr>
                <w:rFonts w:hint="eastAsia" w:hAnsi="仿宋" w:eastAsia="仿宋"/>
                <w:sz w:val="24"/>
                <w:szCs w:val="24"/>
              </w:rPr>
              <w:t>技术推广</w:t>
            </w:r>
          </w:p>
        </w:tc>
      </w:tr>
      <w:tr w14:paraId="62B2E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vAlign w:val="center"/>
          </w:tcPr>
          <w:p w14:paraId="43ACD95A">
            <w:pPr>
              <w:spacing w:line="400" w:lineRule="exact"/>
              <w:contextualSpacing/>
              <w:jc w:val="center"/>
              <w:rPr>
                <w:rFonts w:hint="eastAsia" w:hAnsi="仿宋" w:eastAsia="仿宋" w:cs="Times New Roman"/>
                <w:kern w:val="2"/>
                <w:sz w:val="24"/>
                <w:szCs w:val="24"/>
                <w:lang w:val="en-US" w:eastAsia="zh-CN" w:bidi="ar-SA"/>
              </w:rPr>
            </w:pPr>
            <w:r>
              <w:rPr>
                <w:rFonts w:hint="eastAsia" w:hAnsi="仿宋" w:eastAsia="仿宋" w:cs="Times New Roman"/>
                <w:kern w:val="2"/>
                <w:sz w:val="24"/>
                <w:szCs w:val="24"/>
                <w:lang w:val="en-US" w:eastAsia="zh-CN" w:bidi="ar-SA"/>
              </w:rPr>
              <w:t>肖华根</w:t>
            </w:r>
          </w:p>
        </w:tc>
        <w:tc>
          <w:tcPr>
            <w:tcW w:w="810" w:type="dxa"/>
            <w:vAlign w:val="center"/>
          </w:tcPr>
          <w:p w14:paraId="519A9EA0">
            <w:pPr>
              <w:spacing w:line="400" w:lineRule="exact"/>
              <w:contextualSpacing/>
              <w:jc w:val="center"/>
              <w:rPr>
                <w:rFonts w:hint="eastAsia" w:hAnsi="仿宋" w:eastAsia="仿宋" w:cs="Times New Roman"/>
                <w:kern w:val="2"/>
                <w:sz w:val="24"/>
                <w:szCs w:val="24"/>
                <w:lang w:val="en-US" w:eastAsia="zh-CN" w:bidi="ar-SA"/>
              </w:rPr>
            </w:pPr>
            <w:r>
              <w:rPr>
                <w:rFonts w:hint="eastAsia" w:hAnsi="仿宋" w:eastAsia="仿宋" w:cs="Times New Roman"/>
                <w:kern w:val="2"/>
                <w:sz w:val="24"/>
                <w:szCs w:val="24"/>
                <w:lang w:val="en-US" w:eastAsia="zh-CN" w:bidi="ar-SA"/>
              </w:rPr>
              <w:t>男</w:t>
            </w:r>
          </w:p>
        </w:tc>
        <w:tc>
          <w:tcPr>
            <w:tcW w:w="2340" w:type="dxa"/>
            <w:vAlign w:val="center"/>
          </w:tcPr>
          <w:p w14:paraId="5911577A">
            <w:pPr>
              <w:spacing w:line="400" w:lineRule="exact"/>
              <w:contextualSpacing/>
              <w:jc w:val="center"/>
              <w:rPr>
                <w:rFonts w:hint="eastAsia" w:hAnsi="仿宋" w:eastAsia="仿宋" w:cs="Times New Roman"/>
                <w:kern w:val="2"/>
                <w:sz w:val="24"/>
                <w:szCs w:val="24"/>
                <w:lang w:val="en-US" w:eastAsia="zh-CN" w:bidi="ar-SA"/>
              </w:rPr>
            </w:pPr>
            <w:r>
              <w:rPr>
                <w:rFonts w:hint="eastAsia" w:hAnsi="仿宋" w:eastAsia="仿宋" w:cs="Times New Roman"/>
                <w:kern w:val="2"/>
                <w:sz w:val="24"/>
                <w:szCs w:val="24"/>
                <w:lang w:val="en-US" w:eastAsia="zh-CN" w:bidi="ar-SA"/>
              </w:rPr>
              <w:t>高级工程师</w:t>
            </w:r>
          </w:p>
        </w:tc>
        <w:tc>
          <w:tcPr>
            <w:tcW w:w="3848" w:type="dxa"/>
            <w:vAlign w:val="center"/>
          </w:tcPr>
          <w:p w14:paraId="5FA17C64">
            <w:pPr>
              <w:spacing w:line="400" w:lineRule="exact"/>
              <w:contextualSpacing/>
              <w:jc w:val="center"/>
              <w:rPr>
                <w:rFonts w:hint="eastAsia" w:hAnsi="仿宋" w:eastAsia="仿宋"/>
                <w:sz w:val="24"/>
                <w:szCs w:val="24"/>
              </w:rPr>
            </w:pPr>
            <w:r>
              <w:rPr>
                <w:rFonts w:hint="eastAsia" w:hAnsi="仿宋" w:eastAsia="仿宋"/>
                <w:sz w:val="24"/>
                <w:szCs w:val="24"/>
              </w:rPr>
              <w:t>泰和县农业技术推广中心</w:t>
            </w:r>
          </w:p>
        </w:tc>
        <w:tc>
          <w:tcPr>
            <w:tcW w:w="1477" w:type="dxa"/>
            <w:vAlign w:val="center"/>
          </w:tcPr>
          <w:p w14:paraId="2B4C2EE5">
            <w:pPr>
              <w:spacing w:line="400" w:lineRule="exact"/>
              <w:contextualSpacing/>
              <w:jc w:val="center"/>
              <w:rPr>
                <w:rFonts w:hint="eastAsia" w:hAnsi="仿宋" w:eastAsia="仿宋" w:cs="Times New Roman"/>
                <w:kern w:val="2"/>
                <w:sz w:val="24"/>
                <w:szCs w:val="24"/>
                <w:lang w:val="en-US" w:eastAsia="zh-CN" w:bidi="ar-SA"/>
              </w:rPr>
            </w:pPr>
            <w:r>
              <w:rPr>
                <w:rFonts w:hint="eastAsia" w:hAnsi="仿宋" w:eastAsia="仿宋" w:cs="Times New Roman"/>
                <w:kern w:val="2"/>
                <w:sz w:val="24"/>
                <w:szCs w:val="24"/>
                <w:lang w:val="en-US" w:eastAsia="zh-CN" w:bidi="ar-SA"/>
              </w:rPr>
              <w:t>技术指导</w:t>
            </w:r>
          </w:p>
        </w:tc>
      </w:tr>
      <w:tr w14:paraId="4968D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vAlign w:val="center"/>
          </w:tcPr>
          <w:p w14:paraId="29D46E04">
            <w:pPr>
              <w:spacing w:line="400" w:lineRule="exact"/>
              <w:contextualSpacing/>
              <w:jc w:val="center"/>
              <w:rPr>
                <w:rFonts w:hint="eastAsia" w:hAnsi="仿宋" w:eastAsia="仿宋" w:cs="Times New Roman"/>
                <w:kern w:val="2"/>
                <w:sz w:val="24"/>
                <w:szCs w:val="24"/>
                <w:lang w:val="en-US" w:eastAsia="zh-CN" w:bidi="ar-SA"/>
              </w:rPr>
            </w:pPr>
            <w:r>
              <w:rPr>
                <w:rFonts w:hint="eastAsia" w:hAnsi="仿宋" w:eastAsia="仿宋" w:cs="Times New Roman"/>
                <w:kern w:val="2"/>
                <w:sz w:val="24"/>
                <w:szCs w:val="24"/>
                <w:lang w:val="en-US" w:eastAsia="zh-CN" w:bidi="ar-SA"/>
              </w:rPr>
              <w:t>彭一鸣</w:t>
            </w:r>
          </w:p>
        </w:tc>
        <w:tc>
          <w:tcPr>
            <w:tcW w:w="810" w:type="dxa"/>
            <w:vAlign w:val="center"/>
          </w:tcPr>
          <w:p w14:paraId="6473D436">
            <w:pPr>
              <w:spacing w:line="400" w:lineRule="exact"/>
              <w:contextualSpacing/>
              <w:jc w:val="center"/>
              <w:rPr>
                <w:rFonts w:hint="eastAsia" w:hAnsi="仿宋" w:eastAsia="仿宋" w:cs="Times New Roman"/>
                <w:kern w:val="2"/>
                <w:sz w:val="24"/>
                <w:szCs w:val="24"/>
                <w:lang w:val="en-US" w:eastAsia="zh-CN" w:bidi="ar-SA"/>
              </w:rPr>
            </w:pPr>
            <w:r>
              <w:rPr>
                <w:rFonts w:hint="eastAsia" w:hAnsi="仿宋" w:eastAsia="仿宋" w:cs="Times New Roman"/>
                <w:kern w:val="2"/>
                <w:sz w:val="24"/>
                <w:szCs w:val="24"/>
                <w:lang w:val="en-US" w:eastAsia="zh-CN" w:bidi="ar-SA"/>
              </w:rPr>
              <w:t>男</w:t>
            </w:r>
          </w:p>
        </w:tc>
        <w:tc>
          <w:tcPr>
            <w:tcW w:w="2340" w:type="dxa"/>
            <w:vAlign w:val="center"/>
          </w:tcPr>
          <w:p w14:paraId="310C5157">
            <w:pPr>
              <w:spacing w:line="400" w:lineRule="exact"/>
              <w:contextualSpacing/>
              <w:jc w:val="center"/>
              <w:rPr>
                <w:rFonts w:ascii="Times New Roman" w:hAnsi="仿宋" w:eastAsia="仿宋" w:cs="Times New Roman"/>
                <w:kern w:val="2"/>
                <w:sz w:val="24"/>
                <w:szCs w:val="24"/>
                <w:lang w:val="en-US" w:eastAsia="zh-CN" w:bidi="ar-SA"/>
              </w:rPr>
            </w:pPr>
            <w:r>
              <w:rPr>
                <w:rFonts w:hint="eastAsia" w:hAnsi="仿宋" w:eastAsia="仿宋" w:cs="Times New Roman"/>
                <w:kern w:val="2"/>
                <w:sz w:val="24"/>
                <w:szCs w:val="24"/>
                <w:lang w:val="en-US" w:eastAsia="zh-CN" w:bidi="ar-SA"/>
              </w:rPr>
              <w:t>经理</w:t>
            </w:r>
          </w:p>
        </w:tc>
        <w:tc>
          <w:tcPr>
            <w:tcW w:w="3848" w:type="dxa"/>
            <w:vAlign w:val="center"/>
          </w:tcPr>
          <w:p w14:paraId="3DF65C50">
            <w:pPr>
              <w:spacing w:line="400" w:lineRule="exact"/>
              <w:contextualSpacing/>
              <w:jc w:val="center"/>
              <w:rPr>
                <w:rFonts w:ascii="Times New Roman" w:hAnsi="仿宋" w:eastAsia="仿宋" w:cs="Times New Roman"/>
                <w:kern w:val="2"/>
                <w:sz w:val="24"/>
                <w:szCs w:val="24"/>
                <w:lang w:val="en-US" w:eastAsia="zh-CN" w:bidi="ar-SA"/>
              </w:rPr>
            </w:pPr>
            <w:r>
              <w:rPr>
                <w:rFonts w:hint="eastAsia" w:ascii="Times New Roman" w:hAnsi="仿宋" w:eastAsia="仿宋" w:cs="Times New Roman"/>
                <w:kern w:val="2"/>
                <w:sz w:val="24"/>
                <w:szCs w:val="24"/>
                <w:lang w:val="en-US" w:eastAsia="zh-CN" w:bidi="ar-SA"/>
              </w:rPr>
              <w:t>江西星燃农业科技有限公司</w:t>
            </w:r>
          </w:p>
        </w:tc>
        <w:tc>
          <w:tcPr>
            <w:tcW w:w="1477" w:type="dxa"/>
            <w:vAlign w:val="center"/>
          </w:tcPr>
          <w:p w14:paraId="639F20D4">
            <w:pPr>
              <w:spacing w:line="400" w:lineRule="exact"/>
              <w:contextualSpacing/>
              <w:jc w:val="center"/>
              <w:rPr>
                <w:rFonts w:ascii="Times New Roman" w:hAnsi="仿宋" w:eastAsia="仿宋" w:cs="Times New Roman"/>
                <w:kern w:val="2"/>
                <w:sz w:val="24"/>
                <w:szCs w:val="24"/>
                <w:lang w:val="en-US" w:eastAsia="zh-CN" w:bidi="ar-SA"/>
              </w:rPr>
            </w:pPr>
            <w:r>
              <w:rPr>
                <w:rFonts w:hint="eastAsia" w:hAnsi="仿宋" w:eastAsia="仿宋" w:cs="Times New Roman"/>
                <w:kern w:val="2"/>
                <w:sz w:val="24"/>
                <w:szCs w:val="24"/>
                <w:lang w:val="en-US" w:eastAsia="zh-CN" w:bidi="ar-SA"/>
              </w:rPr>
              <w:t>试验示范</w:t>
            </w:r>
          </w:p>
        </w:tc>
      </w:tr>
      <w:tr w14:paraId="0C80C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vAlign w:val="center"/>
          </w:tcPr>
          <w:p w14:paraId="66ECE5CE">
            <w:pPr>
              <w:spacing w:line="400" w:lineRule="exact"/>
              <w:contextualSpacing/>
              <w:jc w:val="center"/>
              <w:rPr>
                <w:rFonts w:hint="eastAsia" w:hAnsi="仿宋" w:eastAsia="仿宋"/>
                <w:sz w:val="24"/>
                <w:szCs w:val="24"/>
                <w:lang w:eastAsia="zh-CN"/>
              </w:rPr>
            </w:pPr>
            <w:r>
              <w:rPr>
                <w:rFonts w:hint="eastAsia" w:hAnsi="仿宋" w:eastAsia="仿宋"/>
                <w:sz w:val="24"/>
                <w:szCs w:val="24"/>
                <w:lang w:eastAsia="zh-CN"/>
              </w:rPr>
              <w:t>方建军</w:t>
            </w:r>
          </w:p>
        </w:tc>
        <w:tc>
          <w:tcPr>
            <w:tcW w:w="810" w:type="dxa"/>
            <w:vAlign w:val="center"/>
          </w:tcPr>
          <w:p w14:paraId="4F47312A">
            <w:pPr>
              <w:spacing w:line="400" w:lineRule="exact"/>
              <w:contextualSpacing/>
              <w:jc w:val="center"/>
              <w:rPr>
                <w:rFonts w:hint="eastAsia" w:hAnsi="仿宋" w:eastAsia="仿宋"/>
                <w:sz w:val="24"/>
                <w:szCs w:val="24"/>
                <w:lang w:eastAsia="zh-CN"/>
              </w:rPr>
            </w:pPr>
            <w:r>
              <w:rPr>
                <w:rFonts w:hint="eastAsia" w:hAnsi="仿宋" w:eastAsia="仿宋"/>
                <w:sz w:val="24"/>
                <w:szCs w:val="24"/>
                <w:lang w:eastAsia="zh-CN"/>
              </w:rPr>
              <w:t>男</w:t>
            </w:r>
          </w:p>
        </w:tc>
        <w:tc>
          <w:tcPr>
            <w:tcW w:w="2340" w:type="dxa"/>
            <w:vAlign w:val="center"/>
          </w:tcPr>
          <w:p w14:paraId="66462EB1">
            <w:pPr>
              <w:spacing w:line="400" w:lineRule="exact"/>
              <w:contextualSpacing/>
              <w:jc w:val="center"/>
              <w:rPr>
                <w:rFonts w:hint="eastAsia" w:hAnsi="仿宋" w:eastAsia="仿宋"/>
                <w:sz w:val="24"/>
                <w:szCs w:val="24"/>
                <w:lang w:eastAsia="zh-CN"/>
              </w:rPr>
            </w:pPr>
            <w:r>
              <w:rPr>
                <w:rFonts w:hint="eastAsia" w:hAnsi="仿宋" w:eastAsia="仿宋"/>
                <w:sz w:val="24"/>
                <w:szCs w:val="24"/>
                <w:lang w:eastAsia="zh-CN"/>
              </w:rPr>
              <w:t>总经理</w:t>
            </w:r>
          </w:p>
        </w:tc>
        <w:tc>
          <w:tcPr>
            <w:tcW w:w="3848" w:type="dxa"/>
            <w:vAlign w:val="center"/>
          </w:tcPr>
          <w:p w14:paraId="5EDDAF7F">
            <w:pPr>
              <w:spacing w:line="400" w:lineRule="exact"/>
              <w:contextualSpacing/>
              <w:jc w:val="center"/>
              <w:rPr>
                <w:rFonts w:hAnsi="仿宋" w:eastAsia="仿宋"/>
                <w:sz w:val="24"/>
                <w:szCs w:val="24"/>
              </w:rPr>
            </w:pPr>
            <w:r>
              <w:rPr>
                <w:rFonts w:hint="eastAsia" w:hAnsi="仿宋" w:eastAsia="仿宋"/>
                <w:sz w:val="24"/>
                <w:szCs w:val="24"/>
              </w:rPr>
              <w:t>江西鑫润荣农业开发有限公司</w:t>
            </w:r>
          </w:p>
        </w:tc>
        <w:tc>
          <w:tcPr>
            <w:tcW w:w="1477" w:type="dxa"/>
            <w:vAlign w:val="center"/>
          </w:tcPr>
          <w:p w14:paraId="5D5F2C9C">
            <w:pPr>
              <w:spacing w:line="400" w:lineRule="exact"/>
              <w:contextualSpacing/>
              <w:jc w:val="center"/>
              <w:rPr>
                <w:rFonts w:hint="eastAsia" w:hAnsi="仿宋" w:eastAsia="仿宋"/>
                <w:sz w:val="24"/>
                <w:szCs w:val="24"/>
                <w:lang w:eastAsia="zh-CN"/>
              </w:rPr>
            </w:pPr>
            <w:r>
              <w:rPr>
                <w:rFonts w:hint="eastAsia" w:hAnsi="仿宋" w:eastAsia="仿宋"/>
                <w:sz w:val="24"/>
                <w:szCs w:val="24"/>
                <w:lang w:eastAsia="zh-CN"/>
              </w:rPr>
              <w:t>试验示范</w:t>
            </w:r>
          </w:p>
        </w:tc>
      </w:tr>
    </w:tbl>
    <w:p w14:paraId="47A90A5D">
      <w:pPr>
        <w:ind w:firstLine="560" w:firstLineChars="200"/>
        <w:rPr>
          <w:rFonts w:eastAsia="黑体"/>
          <w:sz w:val="28"/>
          <w:szCs w:val="28"/>
        </w:rPr>
      </w:pPr>
      <w:r>
        <w:rPr>
          <w:rFonts w:hAnsi="黑体" w:eastAsia="黑体"/>
          <w:sz w:val="28"/>
          <w:szCs w:val="28"/>
        </w:rPr>
        <w:t>二、制定（修订）标准的必要性和意义</w:t>
      </w:r>
    </w:p>
    <w:p w14:paraId="324C4A7E">
      <w:pPr>
        <w:spacing w:line="360" w:lineRule="auto"/>
        <w:ind w:firstLine="560" w:firstLineChars="200"/>
        <w:rPr>
          <w:rFonts w:hint="eastAsia" w:ascii="仿宋" w:hAnsi="仿宋" w:eastAsia="仿宋"/>
          <w:sz w:val="28"/>
          <w:szCs w:val="28"/>
          <w:lang w:eastAsia="zh-CN"/>
        </w:rPr>
      </w:pPr>
      <w:r>
        <w:rPr>
          <w:rFonts w:hint="eastAsia" w:ascii="仿宋" w:hAnsi="仿宋" w:eastAsia="仿宋"/>
          <w:sz w:val="28"/>
          <w:szCs w:val="28"/>
        </w:rPr>
        <w:t>澳洲淡水龙虾学名红螯螯虾，适宜生存温度范围广，为5-35℃；离水忍耐力强，适合长途运输；长速快，周期短，养殖</w:t>
      </w:r>
      <w:r>
        <w:rPr>
          <w:rFonts w:hint="eastAsia" w:ascii="仿宋" w:hAnsi="仿宋" w:eastAsia="仿宋"/>
          <w:sz w:val="28"/>
          <w:szCs w:val="28"/>
          <w:lang w:eastAsia="zh-CN"/>
        </w:rPr>
        <w:t>5～6个月</w:t>
      </w:r>
      <w:r>
        <w:rPr>
          <w:rFonts w:hint="eastAsia" w:ascii="仿宋" w:hAnsi="仿宋" w:eastAsia="仿宋"/>
          <w:sz w:val="28"/>
          <w:szCs w:val="28"/>
        </w:rPr>
        <w:t>即可上市；出肉率高，成虾个体质量为50-150g,肉质饱满鲜美，出肉率为42%-48%；虾青素含量高，是一般小龙虾的8倍以上，富含亚油酸和二十碳五烯酸，帮助降低胆固醇和甘油三酯。</w:t>
      </w:r>
      <w:r>
        <w:rPr>
          <w:rFonts w:hint="eastAsia" w:ascii="仿宋" w:hAnsi="仿宋" w:eastAsia="仿宋"/>
          <w:sz w:val="28"/>
          <w:szCs w:val="28"/>
          <w:lang w:eastAsia="zh-CN"/>
        </w:rPr>
        <w:t>近年来，</w:t>
      </w:r>
      <w:r>
        <w:rPr>
          <w:rFonts w:hint="eastAsia" w:ascii="仿宋" w:hAnsi="仿宋" w:eastAsia="仿宋"/>
          <w:sz w:val="28"/>
          <w:szCs w:val="28"/>
        </w:rPr>
        <w:t>市场需求量不断加大，每年2-8月都会出现供不应求，市场前景较好</w:t>
      </w:r>
      <w:r>
        <w:rPr>
          <w:rFonts w:hint="eastAsia" w:ascii="仿宋" w:hAnsi="仿宋" w:eastAsia="仿宋"/>
          <w:sz w:val="28"/>
          <w:szCs w:val="28"/>
          <w:lang w:val="en" w:eastAsia="zh-CN"/>
        </w:rPr>
        <w:t>，</w:t>
      </w:r>
      <w:r>
        <w:rPr>
          <w:rFonts w:hint="eastAsia" w:ascii="仿宋" w:hAnsi="仿宋" w:eastAsia="仿宋"/>
          <w:sz w:val="28"/>
          <w:szCs w:val="28"/>
        </w:rPr>
        <w:t>这使得我国的澳洲淡水龙虾养殖规模越来越大</w:t>
      </w:r>
      <w:r>
        <w:rPr>
          <w:rFonts w:hint="default" w:ascii="仿宋" w:hAnsi="仿宋" w:eastAsia="仿宋"/>
          <w:sz w:val="28"/>
          <w:szCs w:val="28"/>
          <w:lang w:val="en"/>
        </w:rPr>
        <w:t>,</w:t>
      </w:r>
      <w:r>
        <w:rPr>
          <w:rFonts w:hint="eastAsia" w:ascii="仿宋" w:hAnsi="仿宋" w:eastAsia="仿宋"/>
          <w:sz w:val="28"/>
          <w:szCs w:val="28"/>
        </w:rPr>
        <w:t>江西</w:t>
      </w:r>
      <w:r>
        <w:rPr>
          <w:rFonts w:hint="eastAsia" w:ascii="仿宋" w:hAnsi="仿宋" w:eastAsia="仿宋"/>
          <w:sz w:val="28"/>
          <w:szCs w:val="28"/>
          <w:lang w:eastAsia="zh-CN"/>
        </w:rPr>
        <w:t>池塘</w:t>
      </w:r>
      <w:r>
        <w:rPr>
          <w:rFonts w:hint="eastAsia" w:ascii="仿宋" w:hAnsi="仿宋" w:eastAsia="仿宋"/>
          <w:sz w:val="28"/>
          <w:szCs w:val="28"/>
        </w:rPr>
        <w:t>养殖澳洲淡水龙虾具有较长时间，但</w:t>
      </w:r>
      <w:r>
        <w:rPr>
          <w:rFonts w:hint="eastAsia" w:ascii="仿宋" w:hAnsi="仿宋" w:eastAsia="仿宋"/>
          <w:sz w:val="28"/>
          <w:szCs w:val="28"/>
          <w:lang w:eastAsia="zh-CN"/>
        </w:rPr>
        <w:t>未形成较为完善的澳洲淡水龙虾池塘养殖操作规程</w:t>
      </w:r>
      <w:r>
        <w:rPr>
          <w:rFonts w:hint="eastAsia" w:ascii="仿宋" w:hAnsi="仿宋" w:eastAsia="仿宋"/>
          <w:sz w:val="28"/>
          <w:szCs w:val="28"/>
        </w:rPr>
        <w:t>，</w:t>
      </w:r>
      <w:r>
        <w:rPr>
          <w:rFonts w:hint="eastAsia" w:ascii="仿宋" w:hAnsi="仿宋" w:eastAsia="仿宋"/>
          <w:sz w:val="28"/>
          <w:szCs w:val="28"/>
          <w:lang w:eastAsia="zh-CN"/>
        </w:rPr>
        <w:t>导致养殖户养殖技术参差不齐，产量较低，影响养殖户收益，制约了澳洲淡水龙产业的发展</w:t>
      </w:r>
      <w:r>
        <w:rPr>
          <w:rFonts w:hint="eastAsia" w:ascii="仿宋" w:hAnsi="仿宋" w:eastAsia="仿宋"/>
          <w:sz w:val="28"/>
          <w:szCs w:val="28"/>
        </w:rPr>
        <w:t>。</w:t>
      </w:r>
      <w:r>
        <w:rPr>
          <w:rFonts w:hint="eastAsia" w:ascii="仿宋" w:hAnsi="仿宋" w:eastAsia="仿宋"/>
          <w:sz w:val="28"/>
          <w:szCs w:val="28"/>
          <w:lang w:eastAsia="zh-CN"/>
        </w:rPr>
        <w:t>因此，迫切需要形成相对成熟的澳洲淡水龙虾池塘养殖技术标准推动产业发展，带动养殖经济效益提升。</w:t>
      </w:r>
    </w:p>
    <w:p w14:paraId="200CF4A4">
      <w:pPr>
        <w:spacing w:line="360" w:lineRule="auto"/>
        <w:ind w:firstLine="560" w:firstLineChars="200"/>
        <w:rPr>
          <w:rFonts w:hAnsi="黑体" w:eastAsia="黑体"/>
          <w:sz w:val="28"/>
          <w:szCs w:val="28"/>
        </w:rPr>
      </w:pPr>
      <w:r>
        <w:rPr>
          <w:rFonts w:hint="eastAsia" w:ascii="仿宋" w:hAnsi="仿宋" w:eastAsia="仿宋"/>
          <w:sz w:val="28"/>
          <w:szCs w:val="28"/>
          <w:lang w:eastAsia="zh-CN"/>
        </w:rPr>
        <w:t>自</w:t>
      </w:r>
      <w:r>
        <w:rPr>
          <w:rFonts w:hint="eastAsia" w:ascii="仿宋" w:hAnsi="仿宋" w:eastAsia="仿宋"/>
          <w:sz w:val="28"/>
          <w:szCs w:val="28"/>
          <w:lang w:val="en-US" w:eastAsia="zh-CN"/>
        </w:rPr>
        <w:t>2021年，团队依托江西省特种水产产业技术体系（JXARS-10）；2023年、2024年江西省现代种业（渔业）发展项目等有关项目支持，在横峰等地进行澳洲淡水龙虾池塘养殖试验，成功进行了澳洲淡水龙虾池塘养殖，摸索出了较为成熟澳洲淡水龙虾池塘养殖模式，总结出一套澳洲淡水龙虾养殖生产技术。试验表明，通过购进国内品质优良的澳洲淡水龙虾黒头苗，经5个多月培育，澳洲淡水龙虾平均规格5-6只/500g，养殖产量336kg/亩，产值可达4万元/亩，利润达1.5万元/亩。不仅优化了当地水产养殖业的生产结构，还显著提升养殖户经济收益和农产品市场竞争力，同时促进当地澳洲淡水龙虾产业的发展，获得了更好的经济效益和生态效益。</w:t>
      </w:r>
      <w:r>
        <w:rPr>
          <w:rFonts w:hint="eastAsia" w:ascii="仿宋" w:hAnsi="仿宋" w:eastAsia="仿宋"/>
          <w:sz w:val="28"/>
          <w:szCs w:val="28"/>
        </w:rPr>
        <w:t xml:space="preserve"> </w:t>
      </w:r>
    </w:p>
    <w:p w14:paraId="19D182B5">
      <w:pPr>
        <w:spacing w:line="360" w:lineRule="auto"/>
        <w:ind w:firstLine="560" w:firstLineChars="200"/>
        <w:rPr>
          <w:rFonts w:hAnsi="黑体" w:eastAsia="黑体"/>
          <w:sz w:val="28"/>
          <w:szCs w:val="28"/>
        </w:rPr>
      </w:pPr>
      <w:r>
        <w:rPr>
          <w:rFonts w:hAnsi="黑体" w:eastAsia="黑体"/>
          <w:sz w:val="28"/>
          <w:szCs w:val="28"/>
        </w:rPr>
        <w:t>三、主要起草过程</w:t>
      </w:r>
    </w:p>
    <w:p w14:paraId="2219D496">
      <w:pPr>
        <w:ind w:firstLine="560" w:firstLineChars="200"/>
        <w:rPr>
          <w:rFonts w:eastAsia="楷体_GB2312"/>
          <w:sz w:val="28"/>
          <w:szCs w:val="28"/>
        </w:rPr>
      </w:pPr>
      <w:r>
        <w:rPr>
          <w:rFonts w:eastAsia="楷体_GB2312"/>
          <w:sz w:val="28"/>
          <w:szCs w:val="28"/>
        </w:rPr>
        <w:t>1.</w:t>
      </w:r>
      <w:r>
        <w:rPr>
          <w:rFonts w:hint="eastAsia" w:eastAsia="楷体_GB2312"/>
          <w:sz w:val="28"/>
          <w:szCs w:val="28"/>
        </w:rPr>
        <w:t xml:space="preserve"> 立项前的准备工作</w:t>
      </w:r>
    </w:p>
    <w:p w14:paraId="16975B03">
      <w:pPr>
        <w:spacing w:line="360" w:lineRule="auto"/>
        <w:ind w:firstLine="560" w:firstLineChars="200"/>
        <w:rPr>
          <w:rFonts w:eastAsia="仿宋_GB2312"/>
          <w:bCs/>
          <w:sz w:val="28"/>
          <w:szCs w:val="28"/>
        </w:rPr>
      </w:pPr>
      <w:r>
        <w:rPr>
          <w:rFonts w:hint="eastAsia" w:eastAsia="仿宋_GB2312"/>
          <w:bCs/>
          <w:sz w:val="28"/>
          <w:szCs w:val="28"/>
        </w:rPr>
        <w:t>在</w:t>
      </w:r>
      <w:r>
        <w:rPr>
          <w:rFonts w:hint="eastAsia" w:ascii="仿宋" w:hAnsi="仿宋" w:eastAsia="仿宋"/>
          <w:sz w:val="28"/>
          <w:szCs w:val="28"/>
        </w:rPr>
        <w:t>江西省特种水产产业技术体系、江西省现代渔业种业发展项目</w:t>
      </w:r>
      <w:r>
        <w:rPr>
          <w:rFonts w:hint="eastAsia" w:eastAsia="仿宋_GB2312"/>
          <w:bCs/>
          <w:sz w:val="28"/>
          <w:szCs w:val="28"/>
        </w:rPr>
        <w:t>的支持下，针对我省</w:t>
      </w:r>
      <w:r>
        <w:rPr>
          <w:rFonts w:hint="eastAsia" w:eastAsia="仿宋_GB2312"/>
          <w:bCs/>
          <w:sz w:val="28"/>
          <w:szCs w:val="28"/>
          <w:lang w:eastAsia="zh-CN"/>
        </w:rPr>
        <w:t>澳洲淡水龙虾（</w:t>
      </w:r>
      <w:r>
        <w:rPr>
          <w:rFonts w:hint="eastAsia" w:eastAsia="仿宋_GB2312"/>
          <w:bCs/>
          <w:i/>
          <w:iCs/>
          <w:sz w:val="28"/>
          <w:szCs w:val="28"/>
          <w:lang w:val="en-US" w:eastAsia="zh-CN"/>
        </w:rPr>
        <w:t>Cherax quadricarinatus</w:t>
      </w:r>
      <w:r>
        <w:rPr>
          <w:rFonts w:hint="eastAsia" w:eastAsia="仿宋_GB2312"/>
          <w:bCs/>
          <w:sz w:val="28"/>
          <w:szCs w:val="28"/>
          <w:lang w:eastAsia="zh-CN"/>
        </w:rPr>
        <w:t>）池塘养殖</w:t>
      </w:r>
      <w:r>
        <w:rPr>
          <w:rFonts w:hint="eastAsia" w:eastAsia="仿宋_GB2312"/>
          <w:bCs/>
          <w:sz w:val="28"/>
          <w:szCs w:val="28"/>
        </w:rPr>
        <w:t>的技术操作规范，包括</w:t>
      </w:r>
      <w:r>
        <w:rPr>
          <w:rFonts w:hint="eastAsia" w:eastAsia="仿宋_GB2312"/>
          <w:bCs/>
          <w:sz w:val="28"/>
          <w:szCs w:val="28"/>
          <w:lang w:eastAsia="zh-CN"/>
        </w:rPr>
        <w:t>环境</w:t>
      </w:r>
      <w:r>
        <w:rPr>
          <w:rFonts w:hint="eastAsia" w:eastAsia="仿宋_GB2312"/>
          <w:bCs/>
          <w:sz w:val="28"/>
          <w:szCs w:val="28"/>
        </w:rPr>
        <w:t>条件、放养前准备、</w:t>
      </w:r>
      <w:r>
        <w:rPr>
          <w:rFonts w:hint="eastAsia" w:eastAsia="仿宋_GB2312"/>
          <w:bCs/>
          <w:sz w:val="28"/>
          <w:szCs w:val="28"/>
          <w:lang w:eastAsia="zh-CN"/>
        </w:rPr>
        <w:t>虾苗放养</w:t>
      </w:r>
      <w:r>
        <w:rPr>
          <w:rFonts w:hint="eastAsia" w:eastAsia="仿宋_GB2312"/>
          <w:bCs/>
          <w:sz w:val="28"/>
          <w:szCs w:val="28"/>
        </w:rPr>
        <w:t>、</w:t>
      </w:r>
      <w:r>
        <w:rPr>
          <w:rFonts w:hint="eastAsia" w:eastAsia="仿宋_GB2312"/>
          <w:bCs/>
          <w:sz w:val="28"/>
          <w:szCs w:val="28"/>
          <w:lang w:eastAsia="zh-CN"/>
        </w:rPr>
        <w:t>饲养管理、</w:t>
      </w:r>
      <w:r>
        <w:rPr>
          <w:rFonts w:hint="eastAsia" w:eastAsia="仿宋_GB2312"/>
          <w:bCs/>
          <w:sz w:val="28"/>
          <w:szCs w:val="28"/>
        </w:rPr>
        <w:t>水质管理、病害防</w:t>
      </w:r>
      <w:r>
        <w:rPr>
          <w:rFonts w:hint="eastAsia" w:eastAsia="仿宋_GB2312"/>
          <w:bCs/>
          <w:sz w:val="28"/>
          <w:szCs w:val="28"/>
          <w:lang w:eastAsia="zh-CN"/>
        </w:rPr>
        <w:t>控</w:t>
      </w:r>
      <w:r>
        <w:rPr>
          <w:rFonts w:hint="eastAsia" w:eastAsia="仿宋_GB2312"/>
          <w:bCs/>
          <w:sz w:val="28"/>
          <w:szCs w:val="28"/>
        </w:rPr>
        <w:t>、日常管理</w:t>
      </w:r>
      <w:r>
        <w:rPr>
          <w:rFonts w:hint="eastAsia" w:eastAsia="仿宋_GB2312"/>
          <w:bCs/>
          <w:sz w:val="28"/>
          <w:szCs w:val="28"/>
          <w:lang w:eastAsia="zh-CN"/>
        </w:rPr>
        <w:t>、捕捞上市、档案记录</w:t>
      </w:r>
      <w:r>
        <w:rPr>
          <w:rFonts w:hint="eastAsia" w:eastAsia="仿宋_GB2312"/>
          <w:sz w:val="28"/>
          <w:szCs w:val="28"/>
        </w:rPr>
        <w:t>等</w:t>
      </w:r>
      <w:r>
        <w:rPr>
          <w:rFonts w:hint="eastAsia" w:eastAsia="仿宋_GB2312"/>
          <w:bCs/>
          <w:sz w:val="28"/>
          <w:szCs w:val="28"/>
        </w:rPr>
        <w:t>方面的关键技术进行了研究集成，积累了大量的第一手资料。</w:t>
      </w:r>
    </w:p>
    <w:p w14:paraId="0CC246FE">
      <w:pPr>
        <w:ind w:firstLine="560" w:firstLineChars="200"/>
        <w:rPr>
          <w:rFonts w:eastAsia="楷体_GB2312"/>
          <w:sz w:val="28"/>
          <w:szCs w:val="28"/>
        </w:rPr>
      </w:pPr>
      <w:r>
        <w:rPr>
          <w:rFonts w:eastAsia="楷体_GB2312"/>
          <w:sz w:val="28"/>
          <w:szCs w:val="28"/>
        </w:rPr>
        <w:t xml:space="preserve">2. </w:t>
      </w:r>
      <w:r>
        <w:rPr>
          <w:rFonts w:hint="eastAsia" w:eastAsia="楷体_GB2312"/>
          <w:sz w:val="28"/>
          <w:szCs w:val="28"/>
        </w:rPr>
        <w:t>项目编制的主要工作过程</w:t>
      </w:r>
    </w:p>
    <w:p w14:paraId="40EF9A43">
      <w:pPr>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（1）成立编写小组</w:t>
      </w:r>
    </w:p>
    <w:p w14:paraId="24B3269B">
      <w:pPr>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由江西省农业技术推广中心牵头，联合</w:t>
      </w:r>
      <w:r>
        <w:rPr>
          <w:rFonts w:hint="eastAsia" w:ascii="仿宋_GB2312" w:hAnsi="仿宋_GB2312" w:eastAsia="仿宋_GB2312" w:cs="仿宋_GB2312"/>
          <w:sz w:val="28"/>
          <w:szCs w:val="28"/>
        </w:rPr>
        <w:t>南昌大学</w:t>
      </w:r>
      <w:r>
        <w:rPr>
          <w:rFonts w:hint="eastAsia" w:ascii="仿宋_GB2312" w:hAnsi="仿宋_GB2312" w:eastAsia="仿宋_GB2312" w:cs="仿宋_GB2312"/>
          <w:sz w:val="28"/>
          <w:szCs w:val="28"/>
          <w:lang w:eastAsia="zh-CN"/>
        </w:rPr>
        <w:t>、吉安市农业农村产业发展服务中心、九江市农业科学院、江西星燃农业科技有限公司、江西鑫润荣农业开发有限公司</w:t>
      </w:r>
      <w:r>
        <w:rPr>
          <w:rFonts w:hint="eastAsia" w:ascii="仿宋_GB2312" w:hAnsi="仿宋_GB2312" w:eastAsia="仿宋_GB2312" w:cs="仿宋_GB2312"/>
          <w:bCs/>
          <w:sz w:val="28"/>
          <w:szCs w:val="28"/>
        </w:rPr>
        <w:t>成立标准编写小组，李小勇高级工程师为组长。编制前期对澳洲淡水龙虾池塘养殖的技术操作规范，包括</w:t>
      </w:r>
      <w:bookmarkStart w:id="2" w:name="_GoBack"/>
      <w:r>
        <w:rPr>
          <w:rFonts w:hint="eastAsia" w:ascii="仿宋_GB2312" w:hAnsi="仿宋_GB2312" w:eastAsia="仿宋_GB2312" w:cs="仿宋_GB2312"/>
          <w:bCs/>
          <w:sz w:val="28"/>
          <w:szCs w:val="28"/>
        </w:rPr>
        <w:t>养</w:t>
      </w:r>
      <w:bookmarkEnd w:id="2"/>
      <w:r>
        <w:rPr>
          <w:rFonts w:hint="eastAsia" w:ascii="仿宋_GB2312" w:hAnsi="仿宋_GB2312" w:eastAsia="仿宋_GB2312" w:cs="仿宋_GB2312"/>
          <w:bCs/>
          <w:sz w:val="28"/>
          <w:szCs w:val="28"/>
          <w:lang w:eastAsia="zh-CN"/>
        </w:rPr>
        <w:t>环境</w:t>
      </w:r>
      <w:r>
        <w:rPr>
          <w:rFonts w:hint="eastAsia" w:ascii="仿宋_GB2312" w:hAnsi="仿宋_GB2312" w:eastAsia="仿宋_GB2312" w:cs="仿宋_GB2312"/>
          <w:bCs/>
          <w:sz w:val="28"/>
          <w:szCs w:val="28"/>
        </w:rPr>
        <w:t>条件、放养前准备、</w:t>
      </w:r>
      <w:r>
        <w:rPr>
          <w:rFonts w:hint="eastAsia" w:ascii="仿宋_GB2312" w:hAnsi="仿宋_GB2312" w:eastAsia="仿宋_GB2312" w:cs="仿宋_GB2312"/>
          <w:bCs/>
          <w:sz w:val="28"/>
          <w:szCs w:val="28"/>
          <w:lang w:eastAsia="zh-CN"/>
        </w:rPr>
        <w:t>虾苗放养</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eastAsia="zh-CN"/>
        </w:rPr>
        <w:t>饲养管理、</w:t>
      </w:r>
      <w:r>
        <w:rPr>
          <w:rFonts w:hint="eastAsia" w:ascii="仿宋_GB2312" w:hAnsi="仿宋_GB2312" w:eastAsia="仿宋_GB2312" w:cs="仿宋_GB2312"/>
          <w:bCs/>
          <w:sz w:val="28"/>
          <w:szCs w:val="28"/>
        </w:rPr>
        <w:t>水质管理、病害防</w:t>
      </w:r>
      <w:r>
        <w:rPr>
          <w:rFonts w:hint="eastAsia" w:ascii="仿宋_GB2312" w:hAnsi="仿宋_GB2312" w:eastAsia="仿宋_GB2312" w:cs="仿宋_GB2312"/>
          <w:bCs/>
          <w:sz w:val="28"/>
          <w:szCs w:val="28"/>
          <w:lang w:eastAsia="zh-CN"/>
        </w:rPr>
        <w:t>控</w:t>
      </w:r>
      <w:r>
        <w:rPr>
          <w:rFonts w:hint="eastAsia" w:ascii="仿宋_GB2312" w:hAnsi="仿宋_GB2312" w:eastAsia="仿宋_GB2312" w:cs="仿宋_GB2312"/>
          <w:bCs/>
          <w:sz w:val="28"/>
          <w:szCs w:val="28"/>
        </w:rPr>
        <w:t>、日常管理</w:t>
      </w:r>
      <w:r>
        <w:rPr>
          <w:rFonts w:hint="eastAsia" w:ascii="仿宋_GB2312" w:hAnsi="仿宋_GB2312" w:eastAsia="仿宋_GB2312" w:cs="仿宋_GB2312"/>
          <w:sz w:val="28"/>
          <w:szCs w:val="28"/>
        </w:rPr>
        <w:t>等</w:t>
      </w:r>
      <w:r>
        <w:rPr>
          <w:rFonts w:hint="eastAsia" w:ascii="仿宋_GB2312" w:hAnsi="仿宋_GB2312" w:eastAsia="仿宋_GB2312" w:cs="仿宋_GB2312"/>
          <w:bCs/>
          <w:sz w:val="28"/>
          <w:szCs w:val="28"/>
        </w:rPr>
        <w:t>方面的关键技术进行了研究集成，积累了大量的第一手资料。</w:t>
      </w:r>
    </w:p>
    <w:p w14:paraId="7C656142">
      <w:pPr>
        <w:spacing w:line="360" w:lineRule="auto"/>
        <w:ind w:firstLine="560" w:firstLineChars="200"/>
        <w:rPr>
          <w:rFonts w:eastAsia="楷体_GB2312"/>
          <w:sz w:val="28"/>
          <w:szCs w:val="28"/>
        </w:rPr>
      </w:pPr>
      <w:r>
        <w:rPr>
          <w:rFonts w:hint="eastAsia" w:eastAsia="仿宋_GB2312"/>
          <w:bCs/>
          <w:sz w:val="28"/>
          <w:szCs w:val="28"/>
        </w:rPr>
        <w:t>（2）编制起草工作</w:t>
      </w:r>
    </w:p>
    <w:p w14:paraId="42286D6F">
      <w:pPr>
        <w:spacing w:line="360" w:lineRule="auto"/>
        <w:ind w:firstLine="560" w:firstLineChars="200"/>
        <w:rPr>
          <w:rFonts w:eastAsia="仿宋_GB2312"/>
          <w:bCs/>
          <w:sz w:val="28"/>
          <w:szCs w:val="28"/>
        </w:rPr>
      </w:pPr>
      <w:r>
        <w:rPr>
          <w:rFonts w:hint="eastAsia" w:eastAsia="仿宋_GB2312"/>
          <w:bCs/>
          <w:sz w:val="28"/>
          <w:szCs w:val="28"/>
        </w:rPr>
        <w:t>202</w:t>
      </w:r>
      <w:r>
        <w:rPr>
          <w:rFonts w:hint="eastAsia" w:eastAsia="仿宋_GB2312"/>
          <w:bCs/>
          <w:sz w:val="28"/>
          <w:szCs w:val="28"/>
          <w:lang w:val="en-US" w:eastAsia="zh-CN"/>
        </w:rPr>
        <w:t>3</w:t>
      </w:r>
      <w:r>
        <w:rPr>
          <w:rFonts w:hint="eastAsia" w:eastAsia="仿宋_GB2312"/>
          <w:bCs/>
          <w:sz w:val="28"/>
          <w:szCs w:val="28"/>
        </w:rPr>
        <w:t>年</w:t>
      </w:r>
      <w:r>
        <w:rPr>
          <w:rFonts w:hint="eastAsia" w:eastAsia="仿宋_GB2312"/>
          <w:bCs/>
          <w:sz w:val="28"/>
          <w:szCs w:val="28"/>
          <w:lang w:val="en-US" w:eastAsia="zh-CN"/>
        </w:rPr>
        <w:t>5</w:t>
      </w:r>
      <w:r>
        <w:rPr>
          <w:rFonts w:hint="eastAsia" w:eastAsia="仿宋_GB2312"/>
          <w:bCs/>
          <w:sz w:val="28"/>
          <w:szCs w:val="28"/>
        </w:rPr>
        <w:t>月至202</w:t>
      </w:r>
      <w:r>
        <w:rPr>
          <w:rFonts w:hint="eastAsia" w:eastAsia="仿宋_GB2312"/>
          <w:bCs/>
          <w:sz w:val="28"/>
          <w:szCs w:val="28"/>
          <w:lang w:val="en-US" w:eastAsia="zh-CN"/>
        </w:rPr>
        <w:t>5</w:t>
      </w:r>
      <w:r>
        <w:rPr>
          <w:rFonts w:hint="eastAsia" w:eastAsia="仿宋_GB2312"/>
          <w:bCs/>
          <w:sz w:val="28"/>
          <w:szCs w:val="28"/>
        </w:rPr>
        <w:t>年</w:t>
      </w:r>
      <w:r>
        <w:rPr>
          <w:rFonts w:hint="eastAsia" w:eastAsia="仿宋_GB2312"/>
          <w:bCs/>
          <w:sz w:val="28"/>
          <w:szCs w:val="28"/>
          <w:lang w:val="en-US" w:eastAsia="zh-CN"/>
        </w:rPr>
        <w:t>7</w:t>
      </w:r>
      <w:r>
        <w:rPr>
          <w:rFonts w:hint="eastAsia" w:eastAsia="仿宋_GB2312"/>
          <w:bCs/>
          <w:sz w:val="28"/>
          <w:szCs w:val="28"/>
        </w:rPr>
        <w:t>月，在广泛调研与试验示范的基础上，总结澳洲淡水龙虾池塘养殖技术关键点，不断论证分析，严格按照标准编制规范与要求，通过多方共同努力，几经易稿，于202</w:t>
      </w:r>
      <w:r>
        <w:rPr>
          <w:rFonts w:hint="eastAsia" w:eastAsia="仿宋_GB2312"/>
          <w:bCs/>
          <w:sz w:val="28"/>
          <w:szCs w:val="28"/>
          <w:lang w:val="en-US" w:eastAsia="zh-CN"/>
        </w:rPr>
        <w:t>5</w:t>
      </w:r>
      <w:r>
        <w:rPr>
          <w:rFonts w:hint="eastAsia" w:eastAsia="仿宋_GB2312"/>
          <w:bCs/>
          <w:sz w:val="28"/>
          <w:szCs w:val="28"/>
        </w:rPr>
        <w:t>年</w:t>
      </w:r>
      <w:r>
        <w:rPr>
          <w:rFonts w:hint="eastAsia" w:eastAsia="仿宋_GB2312"/>
          <w:bCs/>
          <w:sz w:val="28"/>
          <w:szCs w:val="28"/>
          <w:lang w:val="en-US" w:eastAsia="zh-CN"/>
        </w:rPr>
        <w:t>7</w:t>
      </w:r>
      <w:r>
        <w:rPr>
          <w:rFonts w:hint="eastAsia" w:eastAsia="仿宋_GB2312"/>
          <w:bCs/>
          <w:sz w:val="28"/>
          <w:szCs w:val="28"/>
        </w:rPr>
        <w:t>月完成</w:t>
      </w:r>
      <w:r>
        <w:rPr>
          <w:rFonts w:eastAsia="仿宋_GB2312"/>
          <w:bCs/>
          <w:sz w:val="28"/>
          <w:szCs w:val="28"/>
        </w:rPr>
        <w:t>征求意见稿</w:t>
      </w:r>
      <w:r>
        <w:rPr>
          <w:rFonts w:hint="eastAsia" w:eastAsia="仿宋_GB2312"/>
          <w:bCs/>
          <w:sz w:val="28"/>
          <w:szCs w:val="28"/>
        </w:rPr>
        <w:t>。</w:t>
      </w:r>
    </w:p>
    <w:p w14:paraId="03F5086D">
      <w:pPr>
        <w:spacing w:line="360" w:lineRule="auto"/>
        <w:ind w:firstLine="560" w:firstLineChars="200"/>
        <w:rPr>
          <w:rFonts w:eastAsia="仿宋_GB2312"/>
          <w:bCs/>
          <w:sz w:val="28"/>
          <w:szCs w:val="28"/>
        </w:rPr>
      </w:pPr>
      <w:r>
        <w:rPr>
          <w:rFonts w:hint="eastAsia" w:eastAsia="仿宋_GB2312"/>
          <w:bCs/>
          <w:sz w:val="28"/>
          <w:szCs w:val="28"/>
        </w:rPr>
        <w:t>（3）征求意见工作</w:t>
      </w:r>
    </w:p>
    <w:p w14:paraId="0A461FD8">
      <w:pPr>
        <w:spacing w:line="360" w:lineRule="auto"/>
        <w:ind w:firstLine="560" w:firstLineChars="200"/>
        <w:rPr>
          <w:rFonts w:eastAsia="仿宋_GB2312"/>
          <w:bCs/>
          <w:sz w:val="28"/>
          <w:szCs w:val="28"/>
        </w:rPr>
      </w:pPr>
      <w:r>
        <w:rPr>
          <w:rFonts w:eastAsia="仿宋_GB2312"/>
          <w:bCs/>
          <w:sz w:val="28"/>
          <w:szCs w:val="28"/>
        </w:rPr>
        <w:t>于20</w:t>
      </w:r>
      <w:r>
        <w:rPr>
          <w:rFonts w:hint="eastAsia" w:eastAsia="仿宋_GB2312"/>
          <w:bCs/>
          <w:sz w:val="28"/>
          <w:szCs w:val="28"/>
        </w:rPr>
        <w:t>2</w:t>
      </w:r>
      <w:r>
        <w:rPr>
          <w:rFonts w:hint="eastAsia" w:eastAsia="仿宋_GB2312"/>
          <w:bCs/>
          <w:sz w:val="28"/>
          <w:szCs w:val="28"/>
          <w:lang w:val="en-US" w:eastAsia="zh-CN"/>
        </w:rPr>
        <w:t>5</w:t>
      </w:r>
      <w:r>
        <w:rPr>
          <w:rFonts w:eastAsia="仿宋_GB2312"/>
          <w:bCs/>
          <w:sz w:val="28"/>
          <w:szCs w:val="28"/>
        </w:rPr>
        <w:t>年</w:t>
      </w:r>
      <w:r>
        <w:rPr>
          <w:rFonts w:hint="eastAsia" w:eastAsia="仿宋_GB2312"/>
          <w:bCs/>
          <w:sz w:val="28"/>
          <w:szCs w:val="28"/>
          <w:lang w:val="en-US" w:eastAsia="zh-CN"/>
        </w:rPr>
        <w:t>7</w:t>
      </w:r>
      <w:r>
        <w:rPr>
          <w:rFonts w:eastAsia="仿宋_GB2312"/>
          <w:bCs/>
          <w:sz w:val="28"/>
          <w:szCs w:val="28"/>
        </w:rPr>
        <w:t>月</w:t>
      </w:r>
      <w:r>
        <w:rPr>
          <w:rFonts w:hint="eastAsia" w:eastAsia="仿宋_GB2312"/>
          <w:bCs/>
          <w:sz w:val="28"/>
          <w:szCs w:val="28"/>
        </w:rPr>
        <w:t>至202</w:t>
      </w:r>
      <w:r>
        <w:rPr>
          <w:rFonts w:hint="eastAsia" w:eastAsia="仿宋_GB2312"/>
          <w:bCs/>
          <w:sz w:val="28"/>
          <w:szCs w:val="28"/>
          <w:lang w:val="en-US" w:eastAsia="zh-CN"/>
        </w:rPr>
        <w:t>5</w:t>
      </w:r>
      <w:r>
        <w:rPr>
          <w:rFonts w:hint="eastAsia" w:eastAsia="仿宋_GB2312"/>
          <w:bCs/>
          <w:sz w:val="28"/>
          <w:szCs w:val="28"/>
        </w:rPr>
        <w:t>年</w:t>
      </w:r>
      <w:r>
        <w:rPr>
          <w:rFonts w:hint="eastAsia" w:eastAsia="仿宋_GB2312"/>
          <w:bCs/>
          <w:sz w:val="28"/>
          <w:szCs w:val="28"/>
          <w:lang w:val="en-US" w:eastAsia="zh-CN"/>
        </w:rPr>
        <w:t>8</w:t>
      </w:r>
      <w:r>
        <w:rPr>
          <w:rFonts w:hint="eastAsia" w:eastAsia="仿宋_GB2312"/>
          <w:bCs/>
          <w:sz w:val="28"/>
          <w:szCs w:val="28"/>
        </w:rPr>
        <w:t>月</w:t>
      </w:r>
      <w:r>
        <w:rPr>
          <w:rFonts w:eastAsia="仿宋_GB2312"/>
          <w:bCs/>
          <w:sz w:val="28"/>
          <w:szCs w:val="28"/>
        </w:rPr>
        <w:t>将征求意见稿连同</w:t>
      </w:r>
      <w:r>
        <w:rPr>
          <w:rFonts w:hint="eastAsia" w:eastAsia="仿宋_GB2312"/>
          <w:bCs/>
          <w:sz w:val="28"/>
          <w:szCs w:val="28"/>
        </w:rPr>
        <w:t>编制</w:t>
      </w:r>
      <w:r>
        <w:rPr>
          <w:rFonts w:eastAsia="仿宋_GB2312"/>
          <w:bCs/>
          <w:sz w:val="28"/>
          <w:szCs w:val="28"/>
        </w:rPr>
        <w:t>说明发送给</w:t>
      </w:r>
      <w:r>
        <w:rPr>
          <w:rFonts w:hint="eastAsia" w:eastAsia="仿宋_GB2312"/>
          <w:bCs/>
          <w:sz w:val="28"/>
          <w:szCs w:val="28"/>
        </w:rPr>
        <w:t>江西省水产科学研究所</w:t>
      </w:r>
      <w:r>
        <w:rPr>
          <w:rFonts w:hint="eastAsia" w:eastAsia="仿宋_GB2312"/>
          <w:bCs/>
          <w:sz w:val="28"/>
          <w:szCs w:val="28"/>
          <w:lang w:eastAsia="zh-CN"/>
        </w:rPr>
        <w:t>、江西省水生生物保护救助中心、南昌市农业科学院、萍乡市农业科学研究中心、赣州市畜牧水产研究所</w:t>
      </w:r>
      <w:r>
        <w:rPr>
          <w:rFonts w:hint="eastAsia" w:eastAsia="仿宋_GB2312"/>
          <w:bCs/>
          <w:sz w:val="28"/>
          <w:szCs w:val="28"/>
        </w:rPr>
        <w:t>等单位的相关</w:t>
      </w:r>
      <w:r>
        <w:rPr>
          <w:rFonts w:eastAsia="仿宋_GB2312"/>
          <w:bCs/>
          <w:sz w:val="28"/>
          <w:szCs w:val="28"/>
        </w:rPr>
        <w:t>专家征求意见</w:t>
      </w:r>
      <w:r>
        <w:rPr>
          <w:rFonts w:hint="eastAsia" w:eastAsia="仿宋_GB2312"/>
          <w:bCs/>
          <w:sz w:val="28"/>
          <w:szCs w:val="28"/>
        </w:rPr>
        <w:t>，经专家严格把关，认真审核，收到修改意见</w:t>
      </w:r>
      <w:r>
        <w:rPr>
          <w:rFonts w:hint="default" w:eastAsia="仿宋_GB2312"/>
          <w:bCs/>
          <w:sz w:val="28"/>
          <w:szCs w:val="28"/>
          <w:lang w:val="en" w:eastAsia="zh-CN"/>
        </w:rPr>
        <w:t>31</w:t>
      </w:r>
      <w:r>
        <w:rPr>
          <w:rFonts w:hint="eastAsia" w:eastAsia="仿宋_GB2312"/>
          <w:bCs/>
          <w:sz w:val="28"/>
          <w:szCs w:val="28"/>
        </w:rPr>
        <w:t>条（处）。根据专家的意见修改后完成定稿，准予按程序上报审批。</w:t>
      </w:r>
    </w:p>
    <w:p w14:paraId="7A9CA065">
      <w:pPr>
        <w:widowControl/>
        <w:ind w:firstLine="560" w:firstLineChars="200"/>
        <w:jc w:val="left"/>
        <w:rPr>
          <w:rFonts w:eastAsia="仿宋_GB2312"/>
          <w:bCs/>
          <w:sz w:val="28"/>
          <w:szCs w:val="28"/>
        </w:rPr>
      </w:pPr>
      <w:r>
        <w:rPr>
          <w:rFonts w:hAnsi="黑体" w:eastAsia="黑体"/>
          <w:sz w:val="28"/>
          <w:szCs w:val="28"/>
        </w:rPr>
        <w:t>四、制定（修订）标准的原则和依据，与现行法律、法规、标准的关系</w:t>
      </w:r>
    </w:p>
    <w:p w14:paraId="17774C34">
      <w:pPr>
        <w:spacing w:line="360" w:lineRule="auto"/>
        <w:ind w:firstLine="560" w:firstLineChars="200"/>
        <w:rPr>
          <w:rFonts w:eastAsia="仿宋_GB2312"/>
          <w:bCs/>
          <w:sz w:val="28"/>
          <w:szCs w:val="28"/>
        </w:rPr>
      </w:pPr>
      <w:r>
        <w:rPr>
          <w:rFonts w:eastAsia="仿宋_GB2312"/>
          <w:bCs/>
          <w:sz w:val="28"/>
          <w:szCs w:val="28"/>
        </w:rPr>
        <w:t>本标准遵循</w:t>
      </w:r>
      <w:r>
        <w:rPr>
          <w:rFonts w:hint="eastAsia" w:eastAsia="仿宋_GB2312"/>
          <w:bCs/>
          <w:sz w:val="28"/>
          <w:szCs w:val="28"/>
        </w:rPr>
        <w:t>“</w:t>
      </w:r>
      <w:r>
        <w:rPr>
          <w:rFonts w:eastAsia="仿宋_GB2312"/>
          <w:bCs/>
          <w:sz w:val="28"/>
          <w:szCs w:val="28"/>
        </w:rPr>
        <w:t>针对性、先进性、实用性、统一性、规范性</w:t>
      </w:r>
      <w:r>
        <w:rPr>
          <w:rFonts w:hint="eastAsia" w:eastAsia="仿宋_GB2312"/>
          <w:bCs/>
          <w:sz w:val="28"/>
          <w:szCs w:val="28"/>
        </w:rPr>
        <w:t>”</w:t>
      </w:r>
      <w:r>
        <w:rPr>
          <w:rFonts w:eastAsia="仿宋_GB2312"/>
          <w:bCs/>
          <w:sz w:val="28"/>
          <w:szCs w:val="28"/>
        </w:rPr>
        <w:t>的原则，</w:t>
      </w:r>
      <w:r>
        <w:rPr>
          <w:rFonts w:hint="eastAsia" w:eastAsia="仿宋_GB2312"/>
          <w:bCs/>
          <w:sz w:val="28"/>
          <w:szCs w:val="28"/>
        </w:rPr>
        <w:t>尽可能与国内外领先标准接轨，注重了标准的可操作性，严格按GB/T 1.1-2020</w:t>
      </w:r>
      <w:r>
        <w:rPr>
          <w:rFonts w:hint="eastAsia" w:eastAsia="仿宋_GB2312"/>
          <w:bCs/>
          <w:sz w:val="28"/>
          <w:szCs w:val="28"/>
          <w:lang w:eastAsia="zh-CN"/>
        </w:rPr>
        <w:t>《标准化工作导则—第</w:t>
      </w:r>
      <w:r>
        <w:rPr>
          <w:rFonts w:hint="eastAsia" w:eastAsia="仿宋_GB2312"/>
          <w:bCs/>
          <w:sz w:val="28"/>
          <w:szCs w:val="28"/>
          <w:lang w:val="en-US" w:eastAsia="zh-CN"/>
        </w:rPr>
        <w:t>1部分：标准化文件的结构和起草规则</w:t>
      </w:r>
      <w:r>
        <w:rPr>
          <w:rFonts w:hint="eastAsia" w:eastAsia="仿宋_GB2312"/>
          <w:bCs/>
          <w:sz w:val="28"/>
          <w:szCs w:val="28"/>
          <w:lang w:eastAsia="zh-CN"/>
        </w:rPr>
        <w:t>》</w:t>
      </w:r>
      <w:r>
        <w:rPr>
          <w:rFonts w:hint="eastAsia" w:eastAsia="仿宋_GB2312"/>
          <w:bCs/>
          <w:sz w:val="28"/>
          <w:szCs w:val="28"/>
        </w:rPr>
        <w:t>的要求进行编写。本标准与现行农业有关法律、法规、标准不违背或不冲突。在充分考虑了标准须具有包容性、先进性、实用性和可操作性的原则上，以前期研究结果和关键技术应用为依据。</w:t>
      </w:r>
    </w:p>
    <w:p w14:paraId="45A88488">
      <w:pPr>
        <w:spacing w:line="360" w:lineRule="auto"/>
        <w:ind w:firstLine="560" w:firstLineChars="200"/>
        <w:rPr>
          <w:rFonts w:eastAsia="仿宋_GB2312"/>
          <w:bCs/>
          <w:sz w:val="28"/>
          <w:szCs w:val="28"/>
        </w:rPr>
      </w:pPr>
      <w:r>
        <w:rPr>
          <w:rFonts w:eastAsia="仿宋_GB2312"/>
          <w:bCs/>
          <w:color w:val="000000"/>
          <w:sz w:val="28"/>
          <w:szCs w:val="28"/>
        </w:rPr>
        <w:t>本标准</w:t>
      </w:r>
      <w:r>
        <w:rPr>
          <w:rFonts w:hint="eastAsia" w:eastAsia="仿宋_GB2312"/>
          <w:bCs/>
          <w:color w:val="000000"/>
          <w:sz w:val="28"/>
          <w:szCs w:val="28"/>
          <w:lang w:eastAsia="zh-CN"/>
        </w:rPr>
        <w:t>不涉及专利，</w:t>
      </w:r>
      <w:r>
        <w:rPr>
          <w:rFonts w:hint="eastAsia" w:eastAsia="仿宋_GB2312"/>
          <w:bCs/>
          <w:color w:val="000000"/>
          <w:sz w:val="28"/>
          <w:szCs w:val="28"/>
        </w:rPr>
        <w:t>编写过程中根据</w:t>
      </w:r>
      <w:r>
        <w:rPr>
          <w:rFonts w:hint="eastAsia" w:eastAsia="仿宋_GB2312"/>
          <w:bCs/>
          <w:sz w:val="28"/>
          <w:szCs w:val="28"/>
        </w:rPr>
        <w:t>需要引用了</w:t>
      </w:r>
      <w:r>
        <w:rPr>
          <w:rFonts w:hint="eastAsia" w:eastAsia="仿宋_GB2312"/>
          <w:bCs/>
          <w:sz w:val="28"/>
          <w:szCs w:val="28"/>
          <w:lang w:eastAsia="zh-CN"/>
        </w:rPr>
        <w:t>《地表水环境质量标准》（</w:t>
      </w:r>
      <w:r>
        <w:rPr>
          <w:rFonts w:hint="eastAsia" w:eastAsia="仿宋_GB2312"/>
          <w:bCs/>
          <w:sz w:val="28"/>
          <w:szCs w:val="28"/>
          <w:lang w:val="en-US" w:eastAsia="zh-CN"/>
        </w:rPr>
        <w:t>GB 3838</w:t>
      </w:r>
      <w:r>
        <w:rPr>
          <w:rFonts w:hint="eastAsia" w:eastAsia="仿宋_GB2312"/>
          <w:bCs/>
          <w:sz w:val="28"/>
          <w:szCs w:val="28"/>
          <w:lang w:eastAsia="zh-CN"/>
        </w:rPr>
        <w:t>）、</w:t>
      </w:r>
      <w:r>
        <w:rPr>
          <w:rFonts w:hint="eastAsia" w:eastAsia="仿宋_GB2312"/>
          <w:bCs/>
          <w:sz w:val="28"/>
          <w:szCs w:val="28"/>
        </w:rPr>
        <w:t>《渔业水质标准》（GB 11607）、《饲料卫生标准》（GB 13078）、《</w:t>
      </w:r>
      <w:r>
        <w:rPr>
          <w:rFonts w:hint="eastAsia" w:eastAsia="仿宋_GB2312"/>
          <w:bCs/>
          <w:sz w:val="28"/>
          <w:szCs w:val="28"/>
          <w:lang w:eastAsia="zh-CN"/>
        </w:rPr>
        <w:t>水产养殖质量安全管理规范</w:t>
      </w:r>
      <w:r>
        <w:rPr>
          <w:rFonts w:hint="eastAsia" w:eastAsia="仿宋_GB2312"/>
          <w:bCs/>
          <w:sz w:val="28"/>
          <w:szCs w:val="28"/>
        </w:rPr>
        <w:t>》（</w:t>
      </w:r>
      <w:r>
        <w:rPr>
          <w:rFonts w:hint="eastAsia" w:eastAsia="仿宋_GB2312"/>
          <w:bCs/>
          <w:sz w:val="28"/>
          <w:szCs w:val="28"/>
          <w:lang w:val="en-US" w:eastAsia="zh-CN"/>
        </w:rPr>
        <w:t>SC/T</w:t>
      </w:r>
      <w:r>
        <w:rPr>
          <w:rFonts w:hint="eastAsia" w:eastAsia="仿宋_GB2312"/>
          <w:bCs/>
          <w:sz w:val="28"/>
          <w:szCs w:val="28"/>
        </w:rPr>
        <w:t xml:space="preserve"> </w:t>
      </w:r>
      <w:r>
        <w:rPr>
          <w:rFonts w:hint="eastAsia" w:eastAsia="仿宋_GB2312"/>
          <w:bCs/>
          <w:sz w:val="28"/>
          <w:szCs w:val="28"/>
          <w:lang w:val="en-US" w:eastAsia="zh-CN"/>
        </w:rPr>
        <w:t>0004</w:t>
      </w:r>
      <w:r>
        <w:rPr>
          <w:rFonts w:hint="eastAsia" w:eastAsia="仿宋_GB2312"/>
          <w:bCs/>
          <w:sz w:val="28"/>
          <w:szCs w:val="28"/>
        </w:rPr>
        <w:t>）、《</w:t>
      </w:r>
      <w:r>
        <w:rPr>
          <w:rFonts w:hint="eastAsia" w:eastAsia="仿宋_GB2312"/>
          <w:bCs/>
          <w:sz w:val="28"/>
          <w:szCs w:val="28"/>
          <w:lang w:eastAsia="zh-CN"/>
        </w:rPr>
        <w:t>渔药使用规范</w:t>
      </w:r>
      <w:r>
        <w:rPr>
          <w:rFonts w:hint="eastAsia" w:eastAsia="仿宋_GB2312"/>
          <w:bCs/>
          <w:sz w:val="28"/>
          <w:szCs w:val="28"/>
        </w:rPr>
        <w:t>》</w:t>
      </w:r>
      <w:r>
        <w:rPr>
          <w:rFonts w:hint="eastAsia" w:eastAsia="仿宋_GB2312"/>
          <w:bCs/>
          <w:sz w:val="28"/>
          <w:szCs w:val="28"/>
          <w:lang w:eastAsia="zh-CN"/>
        </w:rPr>
        <w:t>（</w:t>
      </w:r>
      <w:r>
        <w:rPr>
          <w:rFonts w:hint="eastAsia" w:eastAsia="仿宋_GB2312"/>
          <w:bCs/>
          <w:sz w:val="28"/>
          <w:szCs w:val="28"/>
          <w:lang w:val="en-US" w:eastAsia="zh-CN"/>
        </w:rPr>
        <w:t>SC/T 1132</w:t>
      </w:r>
      <w:r>
        <w:rPr>
          <w:rFonts w:hint="eastAsia" w:eastAsia="仿宋_GB2312"/>
          <w:bCs/>
          <w:sz w:val="28"/>
          <w:szCs w:val="28"/>
          <w:lang w:eastAsia="zh-CN"/>
        </w:rPr>
        <w:t>）、</w:t>
      </w:r>
      <w:r>
        <w:rPr>
          <w:rFonts w:hint="eastAsia" w:eastAsia="仿宋_GB2312"/>
          <w:bCs/>
          <w:sz w:val="28"/>
          <w:szCs w:val="28"/>
        </w:rPr>
        <w:t>《</w:t>
      </w:r>
      <w:r>
        <w:rPr>
          <w:rFonts w:hint="eastAsia" w:eastAsia="仿宋_GB2312"/>
          <w:bCs/>
          <w:sz w:val="28"/>
          <w:szCs w:val="28"/>
          <w:lang w:eastAsia="zh-CN"/>
        </w:rPr>
        <w:t>水产养殖尾水排放标准</w:t>
      </w:r>
      <w:r>
        <w:rPr>
          <w:rFonts w:hint="eastAsia" w:eastAsia="仿宋_GB2312"/>
          <w:bCs/>
          <w:sz w:val="28"/>
          <w:szCs w:val="28"/>
        </w:rPr>
        <w:t>》（DB36/ 1993-2024）。</w:t>
      </w:r>
    </w:p>
    <w:p w14:paraId="4125069A">
      <w:pPr>
        <w:ind w:firstLine="560" w:firstLineChars="200"/>
        <w:rPr>
          <w:rFonts w:hAnsi="黑体" w:eastAsia="黑体"/>
          <w:color w:val="000000"/>
          <w:sz w:val="28"/>
          <w:szCs w:val="28"/>
        </w:rPr>
      </w:pPr>
      <w:r>
        <w:rPr>
          <w:rFonts w:hAnsi="黑体" w:eastAsia="黑体"/>
          <w:color w:val="000000"/>
          <w:sz w:val="28"/>
          <w:szCs w:val="28"/>
        </w:rPr>
        <w:t xml:space="preserve">五、主要条款的说明 </w:t>
      </w:r>
    </w:p>
    <w:p w14:paraId="24F3271E">
      <w:pPr>
        <w:spacing w:line="360" w:lineRule="auto"/>
        <w:ind w:firstLine="560" w:firstLineChars="200"/>
        <w:rPr>
          <w:rFonts w:eastAsia="楷体_GB2312"/>
          <w:sz w:val="28"/>
          <w:szCs w:val="28"/>
        </w:rPr>
      </w:pPr>
      <w:r>
        <w:rPr>
          <w:rFonts w:hint="eastAsia" w:eastAsia="楷体_GB2312"/>
          <w:sz w:val="28"/>
          <w:szCs w:val="28"/>
        </w:rPr>
        <w:t>1、范围</w:t>
      </w:r>
    </w:p>
    <w:p w14:paraId="52AA94F3">
      <w:pPr>
        <w:widowControl/>
        <w:ind w:firstLine="560" w:firstLineChars="200"/>
        <w:jc w:val="left"/>
        <w:rPr>
          <w:rFonts w:eastAsia="仿宋_GB2312"/>
          <w:bCs/>
          <w:sz w:val="28"/>
          <w:szCs w:val="28"/>
        </w:rPr>
      </w:pPr>
      <w:r>
        <w:rPr>
          <w:rFonts w:hint="eastAsia" w:eastAsia="仿宋_GB2312"/>
          <w:bCs/>
          <w:sz w:val="28"/>
          <w:szCs w:val="28"/>
        </w:rPr>
        <w:t>本文件规定了澳洲淡水龙虾（Cherax quadriarinatus）池塘养殖的环境条件、养殖设施、放养前准备、虾苗放养、饲养管理、病害防治、日常管理、捕捞与销售、养殖记录等技术要求。本文件适用于澳洲淡水龙虾成虾池塘养殖。</w:t>
      </w:r>
    </w:p>
    <w:p w14:paraId="2A4541CC">
      <w:pPr>
        <w:spacing w:line="360" w:lineRule="auto"/>
        <w:ind w:firstLine="560" w:firstLineChars="200"/>
        <w:rPr>
          <w:rFonts w:eastAsia="楷体_GB2312"/>
          <w:sz w:val="28"/>
          <w:szCs w:val="28"/>
        </w:rPr>
      </w:pPr>
      <w:r>
        <w:rPr>
          <w:rFonts w:hint="eastAsia" w:eastAsia="楷体_GB2312"/>
          <w:sz w:val="28"/>
          <w:szCs w:val="28"/>
        </w:rPr>
        <w:t>2、术语</w:t>
      </w:r>
    </w:p>
    <w:p w14:paraId="38135FDD">
      <w:pPr>
        <w:spacing w:line="360" w:lineRule="auto"/>
        <w:ind w:firstLine="560" w:firstLineChars="200"/>
        <w:rPr>
          <w:rFonts w:hint="eastAsia" w:eastAsia="仿宋_GB2312"/>
          <w:bCs/>
          <w:sz w:val="28"/>
          <w:szCs w:val="28"/>
          <w:lang w:eastAsia="zh-CN"/>
        </w:rPr>
      </w:pPr>
      <w:r>
        <w:rPr>
          <w:rFonts w:hint="eastAsia" w:eastAsia="仿宋_GB2312"/>
          <w:bCs/>
          <w:sz w:val="28"/>
          <w:szCs w:val="28"/>
        </w:rPr>
        <w:t>本文件无需要界定的术语和定义</w:t>
      </w:r>
      <w:r>
        <w:rPr>
          <w:rFonts w:hint="eastAsia" w:eastAsia="仿宋_GB2312"/>
          <w:bCs/>
          <w:sz w:val="28"/>
          <w:szCs w:val="28"/>
          <w:lang w:eastAsia="zh-CN"/>
        </w:rPr>
        <w:t>。</w:t>
      </w:r>
    </w:p>
    <w:p w14:paraId="3513B4E4">
      <w:pPr>
        <w:spacing w:line="360" w:lineRule="auto"/>
        <w:ind w:firstLine="560" w:firstLineChars="200"/>
        <w:rPr>
          <w:rFonts w:eastAsia="楷体_GB2312"/>
          <w:sz w:val="28"/>
          <w:szCs w:val="28"/>
        </w:rPr>
      </w:pPr>
      <w:bookmarkStart w:id="0" w:name="_Toc438110925"/>
      <w:bookmarkEnd w:id="0"/>
      <w:bookmarkStart w:id="1" w:name="_Toc438110926"/>
      <w:bookmarkEnd w:id="1"/>
      <w:r>
        <w:rPr>
          <w:rFonts w:hint="eastAsia" w:eastAsia="楷体_GB2312"/>
          <w:sz w:val="28"/>
          <w:szCs w:val="28"/>
        </w:rPr>
        <w:t>3、关键</w:t>
      </w:r>
      <w:r>
        <w:rPr>
          <w:rFonts w:eastAsia="楷体_GB2312"/>
          <w:sz w:val="28"/>
          <w:szCs w:val="28"/>
        </w:rPr>
        <w:t>技术</w:t>
      </w:r>
      <w:r>
        <w:rPr>
          <w:rFonts w:hint="eastAsia" w:eastAsia="楷体_GB2312"/>
          <w:sz w:val="28"/>
          <w:szCs w:val="28"/>
        </w:rPr>
        <w:t>创新点</w:t>
      </w:r>
    </w:p>
    <w:p w14:paraId="1E1E76F3">
      <w:pPr>
        <w:spacing w:line="360" w:lineRule="auto"/>
        <w:ind w:firstLine="560" w:firstLineChars="200"/>
        <w:rPr>
          <w:rFonts w:eastAsia="楷体_GB2312"/>
          <w:sz w:val="28"/>
          <w:szCs w:val="28"/>
        </w:rPr>
      </w:pPr>
      <w:r>
        <w:rPr>
          <w:rFonts w:hint="eastAsia" w:eastAsia="楷体_GB2312"/>
          <w:sz w:val="28"/>
          <w:szCs w:val="28"/>
        </w:rPr>
        <w:t>（1）</w:t>
      </w:r>
      <w:r>
        <w:rPr>
          <w:rFonts w:hint="eastAsia" w:eastAsia="楷体_GB2312"/>
          <w:sz w:val="28"/>
          <w:szCs w:val="28"/>
          <w:lang w:val="en-US" w:eastAsia="zh-CN"/>
        </w:rPr>
        <w:t>环境</w:t>
      </w:r>
      <w:r>
        <w:rPr>
          <w:rFonts w:hint="eastAsia" w:eastAsia="楷体_GB2312"/>
          <w:sz w:val="28"/>
          <w:szCs w:val="28"/>
        </w:rPr>
        <w:t>条件</w:t>
      </w:r>
    </w:p>
    <w:p w14:paraId="26B0E4D3">
      <w:pPr>
        <w:spacing w:line="360" w:lineRule="auto"/>
        <w:ind w:firstLine="560" w:firstLineChars="200"/>
        <w:rPr>
          <w:rFonts w:hint="eastAsia" w:ascii="Times New Roman" w:hAnsi="Times New Roman" w:eastAsia="仿宋_GB2312" w:cs="Times New Roman"/>
          <w:bCs/>
          <w:kern w:val="2"/>
          <w:sz w:val="28"/>
          <w:szCs w:val="28"/>
          <w:lang w:val="en-US" w:eastAsia="zh-CN" w:bidi="ar-SA"/>
        </w:rPr>
      </w:pPr>
      <w:r>
        <w:rPr>
          <w:rFonts w:hint="eastAsia" w:ascii="Times New Roman" w:hAnsi="Times New Roman" w:eastAsia="仿宋_GB2312" w:cs="Times New Roman"/>
          <w:bCs/>
          <w:kern w:val="2"/>
          <w:sz w:val="28"/>
          <w:szCs w:val="28"/>
          <w:lang w:val="en-US" w:eastAsia="zh-CN" w:bidi="ar-SA"/>
        </w:rPr>
        <w:t>场地应选择水源充足、生态良好、交通便利、供电畅通、易于防洪的池塘。水源水质无污染，溶解氧保持在7mg/L以上，pH7～8.5之间为宜。水源水质应符合GB 3838和GB 11607的规定</w:t>
      </w:r>
      <w:r>
        <w:rPr>
          <w:rFonts w:hint="eastAsia" w:eastAsia="仿宋_GB2312" w:cs="Times New Roman"/>
          <w:bCs/>
          <w:kern w:val="2"/>
          <w:sz w:val="28"/>
          <w:szCs w:val="28"/>
          <w:lang w:val="en-US" w:eastAsia="zh-CN" w:bidi="ar-SA"/>
        </w:rPr>
        <w:t>。</w:t>
      </w:r>
      <w:r>
        <w:rPr>
          <w:rFonts w:hint="eastAsia" w:ascii="Times New Roman" w:hAnsi="Times New Roman" w:eastAsia="仿宋_GB2312" w:cs="Times New Roman"/>
          <w:bCs/>
          <w:kern w:val="2"/>
          <w:sz w:val="28"/>
          <w:szCs w:val="28"/>
          <w:lang w:val="en-US" w:eastAsia="zh-CN" w:bidi="ar-SA"/>
        </w:rPr>
        <w:t>池塘面积以5-10亩为宜，形状以东西长、南北宽的长方形为好，长宽比以10:3为宜。水深保持1.5m～2.0m为宜，淤泥厚度小于10cm。池塘底部以泥沙地质为好，无渗漏，由进水口向排水口倾斜；池塘进水口设置防逃设施，并用60目筛绢网布过滤，以避免野杂鱼和其他敌害生物随水流进入养殖池塘。</w:t>
      </w:r>
    </w:p>
    <w:p w14:paraId="4166523F">
      <w:pPr>
        <w:numPr>
          <w:ilvl w:val="0"/>
          <w:numId w:val="3"/>
        </w:numPr>
        <w:spacing w:line="360" w:lineRule="auto"/>
        <w:ind w:firstLine="560" w:firstLineChars="200"/>
        <w:rPr>
          <w:rFonts w:hint="eastAsia" w:eastAsia="仿宋_GB2312" w:cs="Times New Roman"/>
          <w:bCs/>
          <w:kern w:val="2"/>
          <w:sz w:val="28"/>
          <w:szCs w:val="28"/>
          <w:lang w:val="en-US" w:eastAsia="zh-CN" w:bidi="ar-SA"/>
        </w:rPr>
      </w:pPr>
      <w:r>
        <w:rPr>
          <w:rFonts w:hint="eastAsia" w:eastAsia="仿宋_GB2312" w:cs="Times New Roman"/>
          <w:bCs/>
          <w:kern w:val="2"/>
          <w:sz w:val="28"/>
          <w:szCs w:val="28"/>
          <w:lang w:val="en-US" w:eastAsia="zh-CN" w:bidi="ar-SA"/>
        </w:rPr>
        <w:t xml:space="preserve">养殖设施 </w:t>
      </w:r>
    </w:p>
    <w:p w14:paraId="3FB1F2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eastAsia="仿宋_GB2312" w:cs="Times New Roman"/>
          <w:bCs/>
          <w:kern w:val="2"/>
          <w:sz w:val="28"/>
          <w:szCs w:val="28"/>
          <w:lang w:val="en-US" w:eastAsia="zh-CN" w:bidi="ar-SA"/>
        </w:rPr>
      </w:pPr>
      <w:r>
        <w:rPr>
          <w:rFonts w:hint="eastAsia" w:eastAsia="仿宋_GB2312" w:cs="Times New Roman"/>
          <w:bCs/>
          <w:kern w:val="2"/>
          <w:sz w:val="28"/>
          <w:szCs w:val="28"/>
          <w:lang w:val="en-US" w:eastAsia="zh-CN" w:bidi="ar-SA"/>
        </w:rPr>
        <w:t>宜在池塘安装微孔增氧盘或增氧机等增氧设施。</w:t>
      </w:r>
    </w:p>
    <w:p w14:paraId="60EF407D">
      <w:pPr>
        <w:spacing w:line="360" w:lineRule="auto"/>
        <w:ind w:firstLine="560" w:firstLineChars="200"/>
        <w:rPr>
          <w:rFonts w:eastAsia="仿宋_GB2312"/>
          <w:bCs/>
          <w:sz w:val="28"/>
          <w:szCs w:val="28"/>
        </w:rPr>
      </w:pPr>
      <w:r>
        <w:rPr>
          <w:rFonts w:hint="eastAsia" w:eastAsia="仿宋_GB2312"/>
          <w:bCs/>
          <w:sz w:val="28"/>
          <w:szCs w:val="28"/>
        </w:rPr>
        <w:t>（</w:t>
      </w:r>
      <w:r>
        <w:rPr>
          <w:rFonts w:hint="eastAsia" w:eastAsia="仿宋_GB2312"/>
          <w:bCs/>
          <w:sz w:val="28"/>
          <w:szCs w:val="28"/>
          <w:lang w:val="en-US" w:eastAsia="zh-CN"/>
        </w:rPr>
        <w:t>3</w:t>
      </w:r>
      <w:r>
        <w:rPr>
          <w:rFonts w:hint="eastAsia" w:eastAsia="仿宋_GB2312"/>
          <w:bCs/>
          <w:sz w:val="28"/>
          <w:szCs w:val="28"/>
        </w:rPr>
        <w:t>）放养前准备</w:t>
      </w:r>
    </w:p>
    <w:p w14:paraId="6666E1BD">
      <w:pPr>
        <w:spacing w:line="360" w:lineRule="auto"/>
        <w:ind w:firstLine="560" w:firstLineChars="200"/>
        <w:rPr>
          <w:rFonts w:hint="eastAsia" w:eastAsia="仿宋_GB2312"/>
          <w:bCs/>
          <w:sz w:val="28"/>
          <w:szCs w:val="28"/>
          <w:lang w:eastAsia="zh-CN"/>
        </w:rPr>
      </w:pPr>
      <w:r>
        <w:rPr>
          <w:rFonts w:hint="eastAsia" w:eastAsia="仿宋_GB2312"/>
          <w:bCs/>
          <w:sz w:val="28"/>
          <w:szCs w:val="28"/>
        </w:rPr>
        <w:t>放养前15d～20d清池消毒，注水10cm～30cm。消毒方法见表1。在虾苗入塘前7d进行水草种植。在池塘中间种植沉水植物，如轮叶黑藻等，行距1m~2m，种植水草面积占水面1/5至1/3。待水草定植成活后，将水体加高至0.8m~1.2m，保证水草正常生长。</w:t>
      </w:r>
    </w:p>
    <w:p w14:paraId="52AC6A0A">
      <w:pPr>
        <w:pStyle w:val="14"/>
        <w:ind w:firstLine="0" w:firstLineChars="0"/>
        <w:jc w:val="center"/>
        <w:rPr>
          <w:rFonts w:hint="eastAsia" w:ascii="楷体_GB2312" w:hAnsi="楷体_GB2312" w:eastAsia="楷体_GB2312" w:cs="楷体_GB2312"/>
          <w:color w:val="000000"/>
          <w:sz w:val="24"/>
          <w:szCs w:val="24"/>
        </w:rPr>
      </w:pPr>
    </w:p>
    <w:p w14:paraId="6E5A9D64">
      <w:pPr>
        <w:pStyle w:val="14"/>
        <w:ind w:firstLine="0" w:firstLineChars="0"/>
        <w:jc w:val="center"/>
        <w:rPr>
          <w:rFonts w:hint="eastAsia" w:ascii="楷体_GB2312" w:hAnsi="楷体_GB2312" w:eastAsia="楷体_GB2312" w:cs="楷体_GB2312"/>
          <w:color w:val="000000"/>
          <w:sz w:val="24"/>
          <w:szCs w:val="24"/>
        </w:rPr>
      </w:pPr>
    </w:p>
    <w:p w14:paraId="1E4B2140">
      <w:pPr>
        <w:pStyle w:val="14"/>
        <w:ind w:firstLine="0" w:firstLineChars="0"/>
        <w:jc w:val="center"/>
        <w:rPr>
          <w:rFonts w:hint="eastAsia" w:ascii="楷体_GB2312" w:hAnsi="楷体_GB2312" w:eastAsia="楷体_GB2312" w:cs="楷体_GB2312"/>
          <w:color w:val="000000"/>
          <w:sz w:val="24"/>
          <w:szCs w:val="24"/>
        </w:rPr>
      </w:pPr>
      <w:r>
        <w:rPr>
          <w:rFonts w:hint="eastAsia" w:ascii="楷体_GB2312" w:hAnsi="楷体_GB2312" w:eastAsia="楷体_GB2312" w:cs="楷体_GB2312"/>
          <w:color w:val="000000"/>
          <w:sz w:val="24"/>
          <w:szCs w:val="24"/>
        </w:rPr>
        <w:t>表1 养殖池塘常用消毒方法</w:t>
      </w:r>
    </w:p>
    <w:tbl>
      <w:tblPr>
        <w:tblStyle w:val="7"/>
        <w:tblW w:w="0" w:type="auto"/>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42"/>
        <w:gridCol w:w="1643"/>
        <w:gridCol w:w="2835"/>
        <w:gridCol w:w="2485"/>
      </w:tblGrid>
      <w:tr w14:paraId="597B804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1442" w:type="dxa"/>
            <w:tcBorders>
              <w:top w:val="single" w:color="auto" w:sz="12" w:space="0"/>
              <w:bottom w:val="single" w:color="auto" w:sz="4" w:space="0"/>
            </w:tcBorders>
            <w:noWrap w:val="0"/>
            <w:vAlign w:val="center"/>
          </w:tcPr>
          <w:p w14:paraId="40D332D8">
            <w:pPr>
              <w:autoSpaceDE w:val="0"/>
              <w:autoSpaceDN w:val="0"/>
              <w:adjustRightIn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药物种类</w:t>
            </w:r>
          </w:p>
        </w:tc>
        <w:tc>
          <w:tcPr>
            <w:tcW w:w="1643" w:type="dxa"/>
            <w:tcBorders>
              <w:top w:val="single" w:color="auto" w:sz="12" w:space="0"/>
              <w:bottom w:val="single" w:color="auto" w:sz="4" w:space="0"/>
            </w:tcBorders>
            <w:noWrap w:val="0"/>
            <w:vAlign w:val="center"/>
          </w:tcPr>
          <w:p w14:paraId="07A0C976">
            <w:pPr>
              <w:autoSpaceDE w:val="0"/>
              <w:autoSpaceDN w:val="0"/>
              <w:adjustRightIn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用量（kg/667m</w:t>
            </w:r>
            <w:r>
              <w:rPr>
                <w:rFonts w:hint="eastAsia" w:ascii="仿宋_GB2312" w:hAnsi="仿宋_GB2312" w:eastAsia="仿宋_GB2312" w:cs="仿宋_GB2312"/>
                <w:kern w:val="0"/>
                <w:sz w:val="21"/>
                <w:szCs w:val="21"/>
                <w:vertAlign w:val="superscript"/>
              </w:rPr>
              <w:t>3</w:t>
            </w:r>
            <w:r>
              <w:rPr>
                <w:rFonts w:hint="eastAsia" w:ascii="仿宋_GB2312" w:hAnsi="仿宋_GB2312" w:eastAsia="仿宋_GB2312" w:cs="仿宋_GB2312"/>
                <w:kern w:val="0"/>
                <w:sz w:val="21"/>
                <w:szCs w:val="21"/>
              </w:rPr>
              <w:t>）</w:t>
            </w:r>
          </w:p>
        </w:tc>
        <w:tc>
          <w:tcPr>
            <w:tcW w:w="2835" w:type="dxa"/>
            <w:tcBorders>
              <w:top w:val="single" w:color="auto" w:sz="12" w:space="0"/>
              <w:bottom w:val="single" w:color="auto" w:sz="4" w:space="0"/>
            </w:tcBorders>
            <w:noWrap w:val="0"/>
            <w:vAlign w:val="center"/>
          </w:tcPr>
          <w:p w14:paraId="42ACB96C">
            <w:pPr>
              <w:autoSpaceDE w:val="0"/>
              <w:autoSpaceDN w:val="0"/>
              <w:adjustRightInd w:val="0"/>
              <w:ind w:firstLine="1050" w:firstLineChars="50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使用方法</w:t>
            </w:r>
          </w:p>
        </w:tc>
        <w:tc>
          <w:tcPr>
            <w:tcW w:w="2485" w:type="dxa"/>
            <w:tcBorders>
              <w:top w:val="single" w:color="auto" w:sz="12" w:space="0"/>
              <w:bottom w:val="single" w:color="auto" w:sz="4" w:space="0"/>
            </w:tcBorders>
            <w:noWrap w:val="0"/>
            <w:vAlign w:val="center"/>
          </w:tcPr>
          <w:p w14:paraId="22DDA860">
            <w:pPr>
              <w:autoSpaceDE w:val="0"/>
              <w:autoSpaceDN w:val="0"/>
              <w:adjustRightInd w:val="0"/>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毒性消失时间（d）</w:t>
            </w:r>
          </w:p>
        </w:tc>
      </w:tr>
      <w:tr w14:paraId="32FEE11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442" w:type="dxa"/>
            <w:tcBorders>
              <w:top w:val="single" w:color="auto" w:sz="4" w:space="0"/>
              <w:bottom w:val="nil"/>
            </w:tcBorders>
            <w:noWrap w:val="0"/>
            <w:vAlign w:val="center"/>
          </w:tcPr>
          <w:p w14:paraId="6F522AF3">
            <w:pPr>
              <w:autoSpaceDE w:val="0"/>
              <w:autoSpaceDN w:val="0"/>
              <w:adjustRightIn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生石灰</w:t>
            </w:r>
          </w:p>
        </w:tc>
        <w:tc>
          <w:tcPr>
            <w:tcW w:w="1643" w:type="dxa"/>
            <w:tcBorders>
              <w:top w:val="single" w:color="auto" w:sz="4" w:space="0"/>
              <w:bottom w:val="nil"/>
            </w:tcBorders>
            <w:noWrap w:val="0"/>
            <w:vAlign w:val="center"/>
          </w:tcPr>
          <w:p w14:paraId="4CB4401F">
            <w:pPr>
              <w:autoSpaceDE w:val="0"/>
              <w:autoSpaceDN w:val="0"/>
              <w:adjustRightInd w:val="0"/>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75~1</w:t>
            </w:r>
            <w:r>
              <w:rPr>
                <w:rFonts w:hint="eastAsia" w:ascii="仿宋_GB2312" w:hAnsi="仿宋_GB2312" w:eastAsia="仿宋_GB2312" w:cs="仿宋_GB2312"/>
                <w:color w:val="000000"/>
                <w:kern w:val="0"/>
                <w:sz w:val="21"/>
                <w:szCs w:val="21"/>
                <w:lang w:val="en-US" w:eastAsia="zh-CN"/>
              </w:rPr>
              <w:t>0</w:t>
            </w:r>
            <w:r>
              <w:rPr>
                <w:rFonts w:hint="eastAsia" w:ascii="仿宋_GB2312" w:hAnsi="仿宋_GB2312" w:eastAsia="仿宋_GB2312" w:cs="仿宋_GB2312"/>
                <w:color w:val="000000"/>
                <w:kern w:val="0"/>
                <w:sz w:val="21"/>
                <w:szCs w:val="21"/>
              </w:rPr>
              <w:t>0</w:t>
            </w:r>
          </w:p>
        </w:tc>
        <w:tc>
          <w:tcPr>
            <w:tcW w:w="2835" w:type="dxa"/>
            <w:tcBorders>
              <w:top w:val="single" w:color="auto" w:sz="4" w:space="0"/>
              <w:bottom w:val="nil"/>
            </w:tcBorders>
            <w:noWrap w:val="0"/>
            <w:vAlign w:val="center"/>
          </w:tcPr>
          <w:p w14:paraId="7B94EA10">
            <w:pPr>
              <w:autoSpaceDE w:val="0"/>
              <w:autoSpaceDN w:val="0"/>
              <w:adjustRightIn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溶解后泼洒</w:t>
            </w:r>
          </w:p>
        </w:tc>
        <w:tc>
          <w:tcPr>
            <w:tcW w:w="2485" w:type="dxa"/>
            <w:tcBorders>
              <w:top w:val="single" w:color="auto" w:sz="4" w:space="0"/>
              <w:bottom w:val="nil"/>
            </w:tcBorders>
            <w:noWrap w:val="0"/>
            <w:vAlign w:val="center"/>
          </w:tcPr>
          <w:p w14:paraId="7C96E000">
            <w:pPr>
              <w:autoSpaceDE w:val="0"/>
              <w:autoSpaceDN w:val="0"/>
              <w:adjustRightInd w:val="0"/>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7~10</w:t>
            </w:r>
          </w:p>
        </w:tc>
      </w:tr>
      <w:tr w14:paraId="0E8F282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1442" w:type="dxa"/>
            <w:tcBorders>
              <w:top w:val="nil"/>
            </w:tcBorders>
            <w:noWrap w:val="0"/>
            <w:vAlign w:val="center"/>
          </w:tcPr>
          <w:p w14:paraId="654E7651">
            <w:pPr>
              <w:autoSpaceDE w:val="0"/>
              <w:autoSpaceDN w:val="0"/>
              <w:adjustRightIn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漂白粉</w:t>
            </w:r>
          </w:p>
        </w:tc>
        <w:tc>
          <w:tcPr>
            <w:tcW w:w="1643" w:type="dxa"/>
            <w:tcBorders>
              <w:top w:val="nil"/>
            </w:tcBorders>
            <w:noWrap w:val="0"/>
            <w:vAlign w:val="center"/>
          </w:tcPr>
          <w:p w14:paraId="0B274DEF">
            <w:pPr>
              <w:autoSpaceDE w:val="0"/>
              <w:autoSpaceDN w:val="0"/>
              <w:adjustRightInd w:val="0"/>
              <w:jc w:val="center"/>
              <w:rPr>
                <w:rFonts w:hint="default"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15</w:t>
            </w:r>
            <w:r>
              <w:rPr>
                <w:rFonts w:hint="eastAsia" w:ascii="仿宋_GB2312" w:hAnsi="仿宋_GB2312" w:eastAsia="仿宋_GB2312" w:cs="仿宋_GB2312"/>
                <w:color w:val="000000"/>
                <w:kern w:val="0"/>
                <w:sz w:val="21"/>
                <w:szCs w:val="21"/>
              </w:rPr>
              <w:t>~</w:t>
            </w:r>
            <w:r>
              <w:rPr>
                <w:rFonts w:hint="eastAsia" w:ascii="仿宋_GB2312" w:hAnsi="仿宋_GB2312" w:eastAsia="仿宋_GB2312" w:cs="仿宋_GB2312"/>
                <w:color w:val="000000"/>
                <w:kern w:val="0"/>
                <w:sz w:val="21"/>
                <w:szCs w:val="21"/>
                <w:lang w:val="en-US" w:eastAsia="zh-CN"/>
              </w:rPr>
              <w:t>25</w:t>
            </w:r>
          </w:p>
        </w:tc>
        <w:tc>
          <w:tcPr>
            <w:tcW w:w="2835" w:type="dxa"/>
            <w:tcBorders>
              <w:top w:val="nil"/>
            </w:tcBorders>
            <w:noWrap w:val="0"/>
            <w:vAlign w:val="center"/>
          </w:tcPr>
          <w:p w14:paraId="2A16B4E5">
            <w:pPr>
              <w:autoSpaceDE w:val="0"/>
              <w:autoSpaceDN w:val="0"/>
              <w:adjustRightIn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溶解后泼洒</w:t>
            </w:r>
          </w:p>
        </w:tc>
        <w:tc>
          <w:tcPr>
            <w:tcW w:w="2485" w:type="dxa"/>
            <w:tcBorders>
              <w:top w:val="nil"/>
            </w:tcBorders>
            <w:noWrap w:val="0"/>
            <w:vAlign w:val="center"/>
          </w:tcPr>
          <w:p w14:paraId="4AFA3A55">
            <w:pPr>
              <w:autoSpaceDE w:val="0"/>
              <w:autoSpaceDN w:val="0"/>
              <w:adjustRightInd w:val="0"/>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5~7</w:t>
            </w:r>
          </w:p>
        </w:tc>
      </w:tr>
      <w:tr w14:paraId="2C1E1FF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442" w:type="dxa"/>
            <w:noWrap w:val="0"/>
            <w:vAlign w:val="center"/>
          </w:tcPr>
          <w:p w14:paraId="0933BAF5">
            <w:pPr>
              <w:autoSpaceDE w:val="0"/>
              <w:autoSpaceDN w:val="0"/>
              <w:adjustRightIn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茶籽饼</w:t>
            </w:r>
          </w:p>
        </w:tc>
        <w:tc>
          <w:tcPr>
            <w:tcW w:w="1643" w:type="dxa"/>
            <w:noWrap w:val="0"/>
            <w:vAlign w:val="center"/>
          </w:tcPr>
          <w:p w14:paraId="0CDECE49">
            <w:pPr>
              <w:autoSpaceDE w:val="0"/>
              <w:autoSpaceDN w:val="0"/>
              <w:adjustRightInd w:val="0"/>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20~</w:t>
            </w:r>
            <w:r>
              <w:rPr>
                <w:rFonts w:hint="eastAsia" w:ascii="仿宋_GB2312" w:hAnsi="仿宋_GB2312" w:eastAsia="仿宋_GB2312" w:cs="仿宋_GB2312"/>
                <w:color w:val="000000"/>
                <w:kern w:val="0"/>
                <w:sz w:val="21"/>
                <w:szCs w:val="21"/>
                <w:lang w:val="en-US" w:eastAsia="zh-CN"/>
              </w:rPr>
              <w:t>3</w:t>
            </w:r>
            <w:r>
              <w:rPr>
                <w:rFonts w:hint="eastAsia" w:ascii="仿宋_GB2312" w:hAnsi="仿宋_GB2312" w:eastAsia="仿宋_GB2312" w:cs="仿宋_GB2312"/>
                <w:color w:val="000000"/>
                <w:kern w:val="0"/>
                <w:sz w:val="21"/>
                <w:szCs w:val="21"/>
              </w:rPr>
              <w:t>0</w:t>
            </w:r>
          </w:p>
        </w:tc>
        <w:tc>
          <w:tcPr>
            <w:tcW w:w="2835" w:type="dxa"/>
            <w:noWrap w:val="0"/>
            <w:vAlign w:val="center"/>
          </w:tcPr>
          <w:p w14:paraId="52BB0DE8">
            <w:pPr>
              <w:autoSpaceDE w:val="0"/>
              <w:autoSpaceDN w:val="0"/>
              <w:adjustRightIn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捣碎，加海盐浸泡6h后泼洒</w:t>
            </w:r>
          </w:p>
        </w:tc>
        <w:tc>
          <w:tcPr>
            <w:tcW w:w="2485" w:type="dxa"/>
            <w:noWrap w:val="0"/>
            <w:vAlign w:val="center"/>
          </w:tcPr>
          <w:p w14:paraId="1BFBDE1A">
            <w:pPr>
              <w:autoSpaceDE w:val="0"/>
              <w:autoSpaceDN w:val="0"/>
              <w:adjustRightInd w:val="0"/>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5~7</w:t>
            </w:r>
          </w:p>
        </w:tc>
      </w:tr>
    </w:tbl>
    <w:p w14:paraId="6FB3464A">
      <w:pPr>
        <w:spacing w:line="360" w:lineRule="auto"/>
        <w:ind w:firstLine="560" w:firstLineChars="200"/>
        <w:rPr>
          <w:rFonts w:eastAsia="仿宋_GB2312"/>
          <w:bCs/>
          <w:sz w:val="28"/>
          <w:szCs w:val="28"/>
        </w:rPr>
      </w:pPr>
      <w:r>
        <w:rPr>
          <w:rFonts w:hint="eastAsia" w:eastAsia="仿宋_GB2312"/>
          <w:bCs/>
          <w:sz w:val="28"/>
          <w:szCs w:val="28"/>
        </w:rPr>
        <w:t>（</w:t>
      </w:r>
      <w:r>
        <w:rPr>
          <w:rFonts w:hint="eastAsia" w:eastAsia="仿宋_GB2312"/>
          <w:bCs/>
          <w:sz w:val="28"/>
          <w:szCs w:val="28"/>
          <w:lang w:val="en-US" w:eastAsia="zh-CN"/>
        </w:rPr>
        <w:t>4</w:t>
      </w:r>
      <w:r>
        <w:rPr>
          <w:rFonts w:hint="eastAsia" w:eastAsia="仿宋_GB2312"/>
          <w:bCs/>
          <w:sz w:val="28"/>
          <w:szCs w:val="28"/>
        </w:rPr>
        <w:t>）</w:t>
      </w:r>
      <w:r>
        <w:rPr>
          <w:rFonts w:hint="eastAsia" w:eastAsia="仿宋_GB2312"/>
          <w:bCs/>
          <w:sz w:val="28"/>
          <w:szCs w:val="28"/>
          <w:lang w:eastAsia="zh-CN"/>
        </w:rPr>
        <w:t>虾</w:t>
      </w:r>
      <w:r>
        <w:rPr>
          <w:rFonts w:hint="eastAsia" w:eastAsia="仿宋_GB2312"/>
          <w:bCs/>
          <w:sz w:val="28"/>
          <w:szCs w:val="28"/>
        </w:rPr>
        <w:t>苗放养</w:t>
      </w:r>
    </w:p>
    <w:p w14:paraId="26ED0FF1">
      <w:pPr>
        <w:pStyle w:val="14"/>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虾苗投放一般为4~7月份，当水温保持在18摄氏度以上数日即可投苗</w:t>
      </w:r>
      <w:r>
        <w:rPr>
          <w:rFonts w:hint="eastAsia" w:ascii="仿宋_GB2312" w:hAnsi="仿宋_GB2312" w:eastAsia="仿宋_GB2312" w:cs="仿宋_GB2312"/>
          <w:bCs/>
          <w:sz w:val="28"/>
          <w:szCs w:val="28"/>
          <w:lang w:eastAsia="zh-CN"/>
        </w:rPr>
        <w:t>；经检验检疫合格，规格整齐，体态良好，体表无附着物，富有活力；4</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eastAsia="zh-CN"/>
        </w:rPr>
        <w:t>5月份，虾苗全长1~3cm为宜，5~7月份，虾苗全长3~5cm为宜；虾苗规格1cm~3cm，以每667m2池塘投放3500尾~4000尾为宜；虾苗规格3cm~5cm，以每667m2池塘投放3000尾~4000尾为宜；放养前鱼种用池塘水稀释碘液至3%～5%浸泡30s，再将虾苗放入池塘。</w:t>
      </w:r>
    </w:p>
    <w:p w14:paraId="21221A80">
      <w:pPr>
        <w:spacing w:line="360" w:lineRule="auto"/>
        <w:ind w:firstLine="560" w:firstLineChars="200"/>
        <w:rPr>
          <w:rFonts w:eastAsia="仿宋_GB2312"/>
          <w:bCs/>
          <w:sz w:val="28"/>
          <w:szCs w:val="28"/>
        </w:rPr>
      </w:pPr>
      <w:r>
        <w:rPr>
          <w:rFonts w:hint="eastAsia" w:eastAsia="仿宋_GB2312"/>
          <w:bCs/>
          <w:sz w:val="28"/>
          <w:szCs w:val="28"/>
        </w:rPr>
        <w:t>（</w:t>
      </w:r>
      <w:r>
        <w:rPr>
          <w:rFonts w:hint="eastAsia" w:eastAsia="仿宋_GB2312"/>
          <w:bCs/>
          <w:sz w:val="28"/>
          <w:szCs w:val="28"/>
          <w:lang w:val="en-US" w:eastAsia="zh-CN"/>
        </w:rPr>
        <w:t>5</w:t>
      </w:r>
      <w:r>
        <w:rPr>
          <w:rFonts w:hint="eastAsia" w:eastAsia="仿宋_GB2312"/>
          <w:bCs/>
          <w:sz w:val="28"/>
          <w:szCs w:val="28"/>
        </w:rPr>
        <w:t>）</w:t>
      </w:r>
      <w:r>
        <w:rPr>
          <w:rFonts w:hint="eastAsia" w:eastAsia="仿宋_GB2312"/>
          <w:bCs/>
          <w:sz w:val="28"/>
          <w:szCs w:val="28"/>
          <w:lang w:eastAsia="zh-CN"/>
        </w:rPr>
        <w:t>饲养</w:t>
      </w:r>
      <w:r>
        <w:rPr>
          <w:rFonts w:hint="eastAsia" w:eastAsia="仿宋_GB2312"/>
          <w:bCs/>
          <w:sz w:val="28"/>
          <w:szCs w:val="28"/>
        </w:rPr>
        <w:t>管理</w:t>
      </w:r>
    </w:p>
    <w:p w14:paraId="4F593F6C">
      <w:pPr>
        <w:pStyle w:val="14"/>
        <w:rPr>
          <w:rFonts w:hint="eastAsia" w:eastAsia="仿宋_GB2312"/>
          <w:bCs/>
          <w:sz w:val="28"/>
          <w:szCs w:val="28"/>
          <w:lang w:eastAsia="zh-CN"/>
        </w:rPr>
      </w:pPr>
      <w:r>
        <w:rPr>
          <w:rFonts w:hint="eastAsia" w:eastAsia="仿宋_GB2312"/>
          <w:bCs/>
          <w:sz w:val="28"/>
          <w:szCs w:val="28"/>
        </w:rPr>
        <w:t>宜选用粗蛋白含量36%～42%的颗粒饲料，适当补充植物性饲料。所用饲料质量应符合GB 13078的规定</w:t>
      </w:r>
      <w:r>
        <w:rPr>
          <w:rFonts w:hint="eastAsia" w:eastAsia="仿宋_GB2312"/>
          <w:bCs/>
          <w:sz w:val="28"/>
          <w:szCs w:val="28"/>
          <w:lang w:eastAsia="zh-CN"/>
        </w:rPr>
        <w:t>；日投饲量为池内虾苗重量的2%～3%，具体根据天气、虾苗大小、水温、水质、摄食情况等进行调整。每天早、晚各投喂一次。饲料沿池塘边投入池塘里1m～3m处。根据池塘投饵台饲料剩余情况调整投饵量，避免水质败坏，诱发疾病；水体溶氧应在5mg/L以上，溶氧不足时开启增氧设备进行增氧；水体应当保持清新，水体藻类丰富，透明度在30cm～40cm，水位维持在1.5m～1.8m，每7d换水一次，每次换水量不超过1/3为宜；定期对水体进行改底及营养物质补充。</w:t>
      </w:r>
    </w:p>
    <w:p w14:paraId="0399AD2F">
      <w:pPr>
        <w:spacing w:line="360" w:lineRule="auto"/>
        <w:ind w:firstLine="560" w:firstLineChars="200"/>
        <w:rPr>
          <w:rFonts w:hint="eastAsia" w:eastAsia="仿宋_GB2312"/>
          <w:bCs/>
          <w:sz w:val="28"/>
          <w:szCs w:val="28"/>
          <w:lang w:eastAsia="zh-CN"/>
        </w:rPr>
      </w:pPr>
      <w:r>
        <w:rPr>
          <w:rFonts w:hint="eastAsia" w:eastAsia="仿宋_GB2312"/>
          <w:bCs/>
          <w:sz w:val="28"/>
          <w:szCs w:val="28"/>
        </w:rPr>
        <w:t>（</w:t>
      </w:r>
      <w:r>
        <w:rPr>
          <w:rFonts w:hint="eastAsia" w:eastAsia="仿宋_GB2312"/>
          <w:bCs/>
          <w:sz w:val="28"/>
          <w:szCs w:val="28"/>
          <w:lang w:val="en-US" w:eastAsia="zh-CN"/>
        </w:rPr>
        <w:t>6</w:t>
      </w:r>
      <w:r>
        <w:rPr>
          <w:rFonts w:hint="eastAsia" w:eastAsia="仿宋_GB2312"/>
          <w:bCs/>
          <w:sz w:val="28"/>
          <w:szCs w:val="28"/>
        </w:rPr>
        <w:t>）</w:t>
      </w:r>
      <w:r>
        <w:rPr>
          <w:rFonts w:hint="eastAsia" w:eastAsia="仿宋_GB2312"/>
          <w:bCs/>
          <w:sz w:val="28"/>
          <w:szCs w:val="28"/>
          <w:lang w:eastAsia="zh-CN"/>
        </w:rPr>
        <w:t>病害防控</w:t>
      </w:r>
    </w:p>
    <w:p w14:paraId="0B771B19">
      <w:pPr>
        <w:spacing w:line="360" w:lineRule="auto"/>
        <w:ind w:firstLine="560" w:firstLineChars="200"/>
        <w:rPr>
          <w:rFonts w:hint="eastAsia" w:hAnsi="Times New Roman" w:eastAsia="仿宋_GB2312" w:cs="Times New Roman"/>
          <w:bCs/>
          <w:sz w:val="28"/>
          <w:szCs w:val="28"/>
        </w:rPr>
      </w:pPr>
      <w:r>
        <w:rPr>
          <w:rFonts w:hint="eastAsia" w:hAnsi="Times New Roman" w:eastAsia="仿宋_GB2312" w:cs="Times New Roman"/>
          <w:bCs/>
          <w:sz w:val="28"/>
          <w:szCs w:val="28"/>
        </w:rPr>
        <w:t>依照“预防为主，防治结合”原则。使用药品符合NY 5071的规定。定期在饲料中添加丁酸梭菌、胆汁酸、维生素C等进行拌料投喂，增强虾苗抵抗力，达到预防疾病的效果。同时定期使用药物对水体病害进行消杀，防止疾病爆发。对发病虾塘进行及时治疗，防止疾病扩散。</w:t>
      </w:r>
    </w:p>
    <w:p w14:paraId="7AAF152B">
      <w:pPr>
        <w:spacing w:line="360" w:lineRule="auto"/>
        <w:ind w:firstLine="560" w:firstLineChars="200"/>
        <w:rPr>
          <w:rFonts w:hint="eastAsia" w:eastAsia="仿宋_GB2312"/>
          <w:bCs/>
          <w:sz w:val="28"/>
          <w:szCs w:val="28"/>
          <w:lang w:eastAsia="zh-CN"/>
        </w:rPr>
      </w:pPr>
      <w:r>
        <w:rPr>
          <w:rFonts w:hint="eastAsia" w:eastAsia="仿宋_GB2312"/>
          <w:bCs/>
          <w:sz w:val="28"/>
          <w:szCs w:val="28"/>
        </w:rPr>
        <w:t>（</w:t>
      </w:r>
      <w:r>
        <w:rPr>
          <w:rFonts w:hint="eastAsia" w:eastAsia="仿宋_GB2312"/>
          <w:bCs/>
          <w:sz w:val="28"/>
          <w:szCs w:val="28"/>
          <w:lang w:val="en-US" w:eastAsia="zh-CN"/>
        </w:rPr>
        <w:t>7</w:t>
      </w:r>
      <w:r>
        <w:rPr>
          <w:rFonts w:hint="eastAsia" w:eastAsia="仿宋_GB2312"/>
          <w:bCs/>
          <w:sz w:val="28"/>
          <w:szCs w:val="28"/>
        </w:rPr>
        <w:t>）</w:t>
      </w:r>
      <w:r>
        <w:rPr>
          <w:rFonts w:hint="eastAsia" w:eastAsia="仿宋_GB2312"/>
          <w:bCs/>
          <w:sz w:val="28"/>
          <w:szCs w:val="28"/>
          <w:lang w:eastAsia="zh-CN"/>
        </w:rPr>
        <w:t>日常管理</w:t>
      </w:r>
    </w:p>
    <w:p w14:paraId="5134D839">
      <w:pPr>
        <w:spacing w:line="360" w:lineRule="auto"/>
        <w:ind w:firstLine="560" w:firstLineChars="200"/>
        <w:rPr>
          <w:rFonts w:hint="eastAsia" w:eastAsia="仿宋_GB2312"/>
          <w:bCs/>
          <w:sz w:val="28"/>
          <w:szCs w:val="28"/>
          <w:lang w:eastAsia="zh-CN"/>
        </w:rPr>
      </w:pPr>
      <w:r>
        <w:rPr>
          <w:rFonts w:hint="eastAsia" w:eastAsia="仿宋_GB2312"/>
          <w:bCs/>
          <w:sz w:val="28"/>
          <w:szCs w:val="28"/>
        </w:rPr>
        <w:t>坚持巡池，在溶解氧低于5mg/L时应及时开启增氧设备，定期使用微生物制剂调控水质。观察养殖水体情况，定期换水</w:t>
      </w:r>
      <w:r>
        <w:rPr>
          <w:rFonts w:hint="eastAsia" w:eastAsia="仿宋_GB2312"/>
          <w:bCs/>
          <w:sz w:val="28"/>
          <w:szCs w:val="28"/>
          <w:lang w:eastAsia="zh-CN"/>
        </w:rPr>
        <w:t>；养殖尾水需经处理后再排放，排放尾水应符合DB36/ 1993-2024的规定。</w:t>
      </w:r>
    </w:p>
    <w:p w14:paraId="11B06AFC">
      <w:pPr>
        <w:spacing w:line="360" w:lineRule="auto"/>
        <w:ind w:firstLine="560" w:firstLineChars="200"/>
        <w:rPr>
          <w:rFonts w:hint="eastAsia" w:eastAsia="仿宋_GB2312"/>
          <w:bCs/>
          <w:sz w:val="28"/>
          <w:szCs w:val="28"/>
          <w:lang w:eastAsia="zh-CN"/>
        </w:rPr>
      </w:pPr>
      <w:r>
        <w:rPr>
          <w:rFonts w:hint="eastAsia" w:eastAsia="仿宋_GB2312"/>
          <w:bCs/>
          <w:sz w:val="28"/>
          <w:szCs w:val="28"/>
        </w:rPr>
        <w:t>（</w:t>
      </w:r>
      <w:r>
        <w:rPr>
          <w:rFonts w:hint="eastAsia" w:eastAsia="仿宋_GB2312"/>
          <w:bCs/>
          <w:sz w:val="28"/>
          <w:szCs w:val="28"/>
          <w:lang w:val="en-US" w:eastAsia="zh-CN"/>
        </w:rPr>
        <w:t>8</w:t>
      </w:r>
      <w:r>
        <w:rPr>
          <w:rFonts w:hint="eastAsia" w:eastAsia="仿宋_GB2312"/>
          <w:bCs/>
          <w:sz w:val="28"/>
          <w:szCs w:val="28"/>
        </w:rPr>
        <w:t>）</w:t>
      </w:r>
      <w:r>
        <w:rPr>
          <w:rFonts w:hint="eastAsia" w:eastAsia="仿宋_GB2312"/>
          <w:bCs/>
          <w:sz w:val="28"/>
          <w:szCs w:val="28"/>
          <w:lang w:eastAsia="zh-CN"/>
        </w:rPr>
        <w:t>其他管理</w:t>
      </w:r>
    </w:p>
    <w:p w14:paraId="1600F854">
      <w:pPr>
        <w:spacing w:line="360" w:lineRule="auto"/>
        <w:ind w:firstLine="560" w:firstLineChars="200"/>
        <w:rPr>
          <w:rFonts w:eastAsia="仿宋_GB2312"/>
          <w:bCs/>
          <w:sz w:val="28"/>
          <w:szCs w:val="28"/>
        </w:rPr>
      </w:pPr>
      <w:r>
        <w:rPr>
          <w:rFonts w:hint="eastAsia" w:eastAsia="仿宋_GB2312"/>
          <w:bCs/>
          <w:sz w:val="28"/>
          <w:szCs w:val="28"/>
        </w:rPr>
        <w:t>虾苗经过120d左右饲养，虾苗个体达到100g左右便可起捕上市。先用地笼捕捞，捕大留小，最后干塘清捕。</w:t>
      </w:r>
    </w:p>
    <w:p w14:paraId="14091D00">
      <w:pPr>
        <w:spacing w:line="360" w:lineRule="auto"/>
        <w:ind w:firstLine="560" w:firstLineChars="200"/>
        <w:rPr>
          <w:rFonts w:eastAsia="仿宋_GB2312"/>
          <w:bCs/>
          <w:sz w:val="28"/>
          <w:szCs w:val="28"/>
        </w:rPr>
      </w:pPr>
      <w:r>
        <w:rPr>
          <w:rFonts w:hint="eastAsia" w:eastAsia="仿宋_GB2312"/>
          <w:bCs/>
          <w:sz w:val="28"/>
          <w:szCs w:val="28"/>
        </w:rPr>
        <w:t>按照农产品质量安全全程监管要求建立养殖生产档案，详细记录池塘养殖过程中虾苗投放、饲养管理、水质调控、病害防治等信息。各项养殖生产应符合SC/T 0004。</w:t>
      </w:r>
    </w:p>
    <w:p w14:paraId="246CF241">
      <w:pPr>
        <w:ind w:firstLine="560" w:firstLineChars="200"/>
        <w:contextualSpacing/>
        <w:rPr>
          <w:rFonts w:ascii="仿宋_GB2312" w:hAnsi="仿宋" w:eastAsia="仿宋_GB2312"/>
          <w:sz w:val="28"/>
          <w:szCs w:val="28"/>
        </w:rPr>
      </w:pPr>
      <w:r>
        <w:rPr>
          <w:rFonts w:hint="eastAsia" w:ascii="仿宋_GB2312" w:hAnsi="仿宋" w:eastAsia="仿宋_GB2312"/>
          <w:sz w:val="28"/>
          <w:szCs w:val="28"/>
        </w:rPr>
        <w:t>（</w:t>
      </w:r>
      <w:r>
        <w:rPr>
          <w:rFonts w:hint="eastAsia" w:ascii="仿宋_GB2312" w:hAnsi="仿宋" w:eastAsia="仿宋_GB2312"/>
          <w:sz w:val="28"/>
          <w:szCs w:val="28"/>
          <w:lang w:val="en-US" w:eastAsia="zh-CN"/>
        </w:rPr>
        <w:t>9</w:t>
      </w:r>
      <w:r>
        <w:rPr>
          <w:rFonts w:hint="eastAsia" w:ascii="仿宋_GB2312" w:hAnsi="仿宋" w:eastAsia="仿宋_GB2312"/>
          <w:sz w:val="28"/>
          <w:szCs w:val="28"/>
        </w:rPr>
        <w:t>）创新点</w:t>
      </w:r>
    </w:p>
    <w:p w14:paraId="71A7FFC7">
      <w:pPr>
        <w:ind w:firstLine="560" w:firstLineChars="200"/>
        <w:contextualSpacing/>
        <w:rPr>
          <w:rFonts w:ascii="仿宋_GB2312" w:hAnsi="仿宋" w:eastAsia="仿宋_GB2312"/>
          <w:sz w:val="28"/>
          <w:szCs w:val="28"/>
        </w:rPr>
      </w:pPr>
      <w:r>
        <w:rPr>
          <w:rFonts w:hint="eastAsia" w:ascii="仿宋_GB2312" w:hAnsi="仿宋" w:eastAsia="仿宋_GB2312"/>
          <w:sz w:val="28"/>
          <w:szCs w:val="28"/>
          <w:lang w:eastAsia="zh-CN"/>
        </w:rPr>
        <w:t>目前江西水产行业未形成成熟的澳洲淡水龙虾池塘养殖相关操作规范，可弥补我省该项技术标准的空白</w:t>
      </w:r>
      <w:r>
        <w:rPr>
          <w:rFonts w:hint="eastAsia" w:ascii="仿宋_GB2312" w:hAnsi="仿宋" w:eastAsia="仿宋_GB2312"/>
          <w:sz w:val="28"/>
          <w:szCs w:val="28"/>
        </w:rPr>
        <w:t>。</w:t>
      </w:r>
    </w:p>
    <w:p w14:paraId="1D1E4052">
      <w:pPr>
        <w:ind w:firstLine="560" w:firstLineChars="200"/>
        <w:rPr>
          <w:rFonts w:eastAsia="黑体"/>
          <w:sz w:val="28"/>
          <w:szCs w:val="28"/>
        </w:rPr>
      </w:pPr>
      <w:r>
        <w:rPr>
          <w:rFonts w:hAnsi="黑体" w:eastAsia="黑体"/>
          <w:sz w:val="28"/>
          <w:szCs w:val="28"/>
        </w:rPr>
        <w:t>六、重大意见分歧的处理依据和结果</w:t>
      </w:r>
    </w:p>
    <w:p w14:paraId="776CAB09">
      <w:pPr>
        <w:ind w:firstLine="560" w:firstLineChars="200"/>
        <w:jc w:val="left"/>
        <w:rPr>
          <w:rFonts w:eastAsia="仿宋_GB2312"/>
          <w:sz w:val="28"/>
          <w:szCs w:val="28"/>
        </w:rPr>
      </w:pPr>
      <w:r>
        <w:rPr>
          <w:rFonts w:hint="eastAsia" w:eastAsia="仿宋_GB2312"/>
          <w:sz w:val="28"/>
          <w:szCs w:val="28"/>
        </w:rPr>
        <w:t>该标准以大量的基础研究数据和夯实的生产实践为依据，严格按照国家标准编制规范要求，内容全面，数据可靠。在草案征求意见阶段时，经省内至相关专家审核后，未收到重大分歧意见，只作小幅度修改，因此也就不存在重大分歧意见的处理经过和依据。</w:t>
      </w:r>
    </w:p>
    <w:p w14:paraId="00A81B9D">
      <w:pPr>
        <w:ind w:firstLine="560" w:firstLineChars="200"/>
        <w:rPr>
          <w:rFonts w:eastAsia="黑体"/>
          <w:sz w:val="28"/>
          <w:szCs w:val="28"/>
        </w:rPr>
      </w:pPr>
      <w:r>
        <w:rPr>
          <w:rFonts w:hAnsi="黑体" w:eastAsia="黑体"/>
          <w:sz w:val="28"/>
          <w:szCs w:val="28"/>
        </w:rPr>
        <w:t>七、贯彻标准的措施建议</w:t>
      </w:r>
    </w:p>
    <w:p w14:paraId="747806E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eastAsia="仿宋_GB2312"/>
          <w:sz w:val="28"/>
          <w:szCs w:val="28"/>
        </w:rPr>
      </w:pPr>
      <w:r>
        <w:rPr>
          <w:rFonts w:hint="eastAsia" w:eastAsia="仿宋_GB2312"/>
          <w:sz w:val="28"/>
          <w:szCs w:val="28"/>
        </w:rPr>
        <w:t>1．采用标准化示范方式，有效开展本标准的宣贯工作，培育示范户，以示范带动推广。</w:t>
      </w:r>
    </w:p>
    <w:p w14:paraId="61E36CA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eastAsia="仿宋_GB2312"/>
          <w:sz w:val="28"/>
          <w:szCs w:val="28"/>
        </w:rPr>
      </w:pPr>
      <w:r>
        <w:rPr>
          <w:rFonts w:hint="eastAsia" w:eastAsia="仿宋_GB2312"/>
          <w:sz w:val="28"/>
          <w:szCs w:val="28"/>
        </w:rPr>
        <w:t>2. 加强标准的宣传培训，以指导实际为目的，对本省中华绒螯蟹育苗企业（合作社）或从业农户、基层的科技人员开展相关技术培训工作。</w:t>
      </w:r>
    </w:p>
    <w:p w14:paraId="2FAA868F">
      <w:pPr>
        <w:keepNext w:val="0"/>
        <w:keepLines w:val="0"/>
        <w:pageBreakBefore w:val="0"/>
        <w:widowControl w:val="0"/>
        <w:kinsoku/>
        <w:wordWrap/>
        <w:overflowPunct/>
        <w:topLinePunct w:val="0"/>
        <w:autoSpaceDE/>
        <w:autoSpaceDN/>
        <w:bidi w:val="0"/>
        <w:adjustRightInd/>
        <w:snapToGrid/>
        <w:spacing w:line="360" w:lineRule="auto"/>
        <w:ind w:firstLine="548" w:firstLineChars="196"/>
        <w:textAlignment w:val="auto"/>
        <w:rPr>
          <w:rFonts w:eastAsia="仿宋_GB2312"/>
          <w:sz w:val="28"/>
          <w:szCs w:val="28"/>
        </w:rPr>
      </w:pPr>
      <w:r>
        <w:rPr>
          <w:rFonts w:hint="eastAsia" w:eastAsia="仿宋_GB2312"/>
          <w:sz w:val="28"/>
          <w:szCs w:val="28"/>
        </w:rPr>
        <w:t>3.标准实施后，建议相关的管理部门及时组织各级质量监督机构和渔业部门进行交流培训，使其熟悉并指导工作。</w:t>
      </w:r>
    </w:p>
    <w:p w14:paraId="30438D13">
      <w:pPr>
        <w:ind w:firstLine="560" w:firstLineChars="200"/>
        <w:rPr>
          <w:rFonts w:hAnsi="黑体" w:eastAsia="黑体"/>
          <w:sz w:val="28"/>
          <w:szCs w:val="28"/>
        </w:rPr>
      </w:pPr>
      <w:r>
        <w:rPr>
          <w:rFonts w:hint="eastAsia" w:hAnsi="黑体" w:eastAsia="黑体"/>
          <w:sz w:val="28"/>
          <w:szCs w:val="28"/>
        </w:rPr>
        <w:t>八、其他应说明的事项</w:t>
      </w:r>
    </w:p>
    <w:p w14:paraId="33D67886">
      <w:pPr>
        <w:ind w:firstLine="560" w:firstLineChars="200"/>
        <w:contextualSpacing/>
        <w:rPr>
          <w:rFonts w:hint="eastAsia" w:ascii="仿宋_GB2312" w:hAnsi="仿宋" w:eastAsia="仿宋_GB2312"/>
          <w:sz w:val="28"/>
          <w:szCs w:val="28"/>
        </w:rPr>
      </w:pPr>
      <w:r>
        <w:rPr>
          <w:rFonts w:hint="eastAsia" w:ascii="仿宋_GB2312" w:hAnsi="仿宋" w:eastAsia="仿宋_GB2312"/>
          <w:sz w:val="28"/>
          <w:szCs w:val="28"/>
        </w:rPr>
        <w:t>本标准是首次制定，在标准制定过程中工作组对我省</w:t>
      </w:r>
      <w:r>
        <w:rPr>
          <w:rFonts w:hint="eastAsia" w:ascii="仿宋_GB2312" w:hAnsi="仿宋" w:eastAsia="仿宋_GB2312"/>
          <w:sz w:val="28"/>
          <w:szCs w:val="28"/>
          <w:lang w:eastAsia="zh-CN"/>
        </w:rPr>
        <w:t>澳洲淡水龙虾池塘养殖</w:t>
      </w:r>
      <w:r>
        <w:rPr>
          <w:rFonts w:hint="eastAsia" w:ascii="仿宋_GB2312" w:hAnsi="仿宋" w:eastAsia="仿宋_GB2312"/>
          <w:sz w:val="28"/>
          <w:szCs w:val="28"/>
        </w:rPr>
        <w:t>技术情况进行充分调研，查阅了国内外相关资料，并开展了培育扣蟹关键技术集成试验示范。</w:t>
      </w:r>
    </w:p>
    <w:p w14:paraId="06A15AF3">
      <w:pPr>
        <w:ind w:firstLine="560" w:firstLineChars="200"/>
        <w:contextualSpacing/>
        <w:rPr>
          <w:rFonts w:hint="eastAsia" w:ascii="仿宋_GB2312" w:hAnsi="仿宋" w:eastAsia="仿宋_GB2312"/>
          <w:sz w:val="28"/>
          <w:szCs w:val="28"/>
        </w:rPr>
      </w:pPr>
      <w:r>
        <w:rPr>
          <w:rFonts w:hint="eastAsia" w:ascii="仿宋_GB2312" w:hAnsi="仿宋" w:eastAsia="仿宋_GB2312"/>
          <w:sz w:val="28"/>
          <w:szCs w:val="28"/>
        </w:rPr>
        <w:t>此外，标准制定工作组得到了许多专家和相关企业领导、同仁们及养殖能手的大力支持和帮助，在此一并表示衷心感谢！由于受经费、时间以及其他条件所限，工作中可能存在的问题，希望各位专家和领导批评指正。</w:t>
      </w:r>
    </w:p>
    <w:p w14:paraId="73485347">
      <w:pPr>
        <w:adjustRightInd w:val="0"/>
        <w:snapToGrid w:val="0"/>
        <w:spacing w:line="360" w:lineRule="auto"/>
        <w:ind w:firstLine="560" w:firstLineChars="200"/>
        <w:rPr>
          <w:rFonts w:eastAsia="仿宋_GB2312"/>
          <w:sz w:val="28"/>
          <w:szCs w:val="28"/>
        </w:rPr>
      </w:pPr>
    </w:p>
    <w:p w14:paraId="2903D80E">
      <w:pPr>
        <w:adjustRightInd w:val="0"/>
        <w:snapToGrid w:val="0"/>
        <w:spacing w:line="360" w:lineRule="auto"/>
        <w:ind w:firstLine="560" w:firstLineChars="200"/>
        <w:rPr>
          <w:rFonts w:eastAsia="仿宋_GB2312"/>
          <w:sz w:val="28"/>
          <w:szCs w:val="28"/>
        </w:rPr>
      </w:pPr>
    </w:p>
    <w:p w14:paraId="2CCB0D4F">
      <w:pPr>
        <w:adjustRightInd w:val="0"/>
        <w:snapToGrid w:val="0"/>
        <w:spacing w:line="360" w:lineRule="auto"/>
        <w:rPr>
          <w:rFonts w:eastAsia="仿宋_GB2312"/>
          <w:color w:val="000000"/>
          <w:sz w:val="28"/>
          <w:szCs w:val="28"/>
        </w:rPr>
      </w:pPr>
      <w:r>
        <w:rPr>
          <w:rFonts w:hint="eastAsia" w:eastAsia="仿宋_GB2312"/>
          <w:sz w:val="28"/>
          <w:szCs w:val="28"/>
        </w:rPr>
        <w:t xml:space="preserve">                </w:t>
      </w:r>
      <w:r>
        <w:rPr>
          <w:rFonts w:eastAsia="仿宋_GB2312"/>
          <w:sz w:val="28"/>
          <w:szCs w:val="28"/>
        </w:rPr>
        <w:t>《</w:t>
      </w:r>
      <w:r>
        <w:rPr>
          <w:rFonts w:hint="eastAsia" w:eastAsia="仿宋_GB2312"/>
          <w:sz w:val="28"/>
          <w:szCs w:val="28"/>
        </w:rPr>
        <w:t>澳洲淡水龙虾池塘养殖技术规程</w:t>
      </w:r>
      <w:r>
        <w:rPr>
          <w:rFonts w:eastAsia="仿宋_GB2312"/>
          <w:color w:val="000000"/>
          <w:sz w:val="28"/>
          <w:szCs w:val="28"/>
        </w:rPr>
        <w:t>》标准起草小组</w:t>
      </w:r>
    </w:p>
    <w:p w14:paraId="3DEBCE61">
      <w:pPr>
        <w:adjustRightInd w:val="0"/>
        <w:snapToGrid w:val="0"/>
        <w:spacing w:line="360" w:lineRule="auto"/>
        <w:ind w:firstLine="560" w:firstLineChars="200"/>
        <w:jc w:val="right"/>
        <w:rPr>
          <w:sz w:val="28"/>
          <w:szCs w:val="28"/>
        </w:rPr>
      </w:pPr>
      <w:r>
        <w:rPr>
          <w:rFonts w:eastAsia="仿宋_GB2312"/>
          <w:sz w:val="28"/>
          <w:szCs w:val="28"/>
        </w:rPr>
        <w:t xml:space="preserve"> </w:t>
      </w:r>
      <w:r>
        <w:rPr>
          <w:rFonts w:hint="eastAsia" w:eastAsia="仿宋_GB2312"/>
          <w:sz w:val="28"/>
          <w:szCs w:val="28"/>
          <w:lang w:val="en-US" w:eastAsia="zh-CN"/>
        </w:rPr>
        <w:t>2025</w:t>
      </w:r>
      <w:r>
        <w:rPr>
          <w:rFonts w:eastAsia="仿宋_GB2312"/>
          <w:sz w:val="28"/>
          <w:szCs w:val="28"/>
        </w:rPr>
        <w:t>年</w:t>
      </w:r>
      <w:r>
        <w:rPr>
          <w:rFonts w:hint="default" w:eastAsia="仿宋_GB2312"/>
          <w:sz w:val="28"/>
          <w:szCs w:val="28"/>
          <w:lang w:val="en" w:eastAsia="zh-CN"/>
        </w:rPr>
        <w:t>8</w:t>
      </w:r>
      <w:r>
        <w:rPr>
          <w:rFonts w:eastAsia="仿宋_GB2312"/>
          <w:sz w:val="28"/>
          <w:szCs w:val="28"/>
        </w:rPr>
        <w:t>月</w:t>
      </w:r>
      <w:r>
        <w:rPr>
          <w:rFonts w:hint="default" w:eastAsia="仿宋_GB2312"/>
          <w:sz w:val="28"/>
          <w:szCs w:val="28"/>
          <w:lang w:val="en" w:eastAsia="zh-CN"/>
        </w:rPr>
        <w:t>18</w:t>
      </w:r>
      <w:r>
        <w:rPr>
          <w:rFonts w:eastAsia="仿宋_GB2312"/>
          <w:sz w:val="28"/>
          <w:szCs w:val="28"/>
        </w:rPr>
        <w:t>日</w:t>
      </w:r>
    </w:p>
    <w:p w14:paraId="0F315864"/>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FBFDD86-86AE-426A-979F-602E19CF7CC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8A917700-D2B9-4A0E-90CC-1124D07F5155}"/>
  </w:font>
  <w:font w:name="仿宋_GB2312">
    <w:altName w:val="仿宋"/>
    <w:panose1 w:val="02010609030101010101"/>
    <w:charset w:val="86"/>
    <w:family w:val="auto"/>
    <w:pitch w:val="default"/>
    <w:sig w:usb0="00000000" w:usb1="00000000" w:usb2="00000000" w:usb3="00000000" w:csb0="00040000" w:csb1="00000000"/>
    <w:embedRegular r:id="rId3" w:fontKey="{1356A9F4-AB15-45D9-B770-0557BF5DCACC}"/>
  </w:font>
  <w:font w:name="方正小标宋简体">
    <w:panose1 w:val="02000000000000000000"/>
    <w:charset w:val="86"/>
    <w:family w:val="script"/>
    <w:pitch w:val="default"/>
    <w:sig w:usb0="00000001" w:usb1="08000000" w:usb2="00000000" w:usb3="00000000" w:csb0="00040000" w:csb1="00000000"/>
    <w:embedRegular r:id="rId4" w:fontKey="{FB99BBBC-57C8-4F0F-96BD-136EF11FF9EB}"/>
  </w:font>
  <w:font w:name="楷体_GB2312">
    <w:altName w:val="楷体"/>
    <w:panose1 w:val="02010609030101010101"/>
    <w:charset w:val="86"/>
    <w:family w:val="modern"/>
    <w:pitch w:val="default"/>
    <w:sig w:usb0="00000000" w:usb1="00000000" w:usb2="00000000" w:usb3="00000000" w:csb0="00040000" w:csb1="00000000"/>
    <w:embedRegular r:id="rId5" w:fontKey="{78B42C30-3E6B-4030-B570-C1C6718AD276}"/>
  </w:font>
  <w:font w:name="仿宋">
    <w:panose1 w:val="02010609060101010101"/>
    <w:charset w:val="86"/>
    <w:family w:val="modern"/>
    <w:pitch w:val="default"/>
    <w:sig w:usb0="800002BF" w:usb1="38CF7CFA" w:usb2="00000016" w:usb3="00000000" w:csb0="00040001" w:csb1="00000000"/>
    <w:embedRegular r:id="rId6" w:fontKey="{30081EB0-15AD-4A3D-A98B-776DDD3D739C}"/>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03E8B">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F332E"/>
    <w:multiLevelType w:val="singleLevel"/>
    <w:tmpl w:val="EFFF332E"/>
    <w:lvl w:ilvl="0" w:tentative="0">
      <w:start w:val="2"/>
      <w:numFmt w:val="decimal"/>
      <w:suff w:val="nothing"/>
      <w:lvlText w:val="（%1）"/>
      <w:lvlJc w:val="left"/>
    </w:lvl>
  </w:abstractNum>
  <w:abstractNum w:abstractNumId="1">
    <w:nsid w:val="1FC91163"/>
    <w:multiLevelType w:val="multilevel"/>
    <w:tmpl w:val="1FC91163"/>
    <w:lvl w:ilvl="0" w:tentative="0">
      <w:start w:val="1"/>
      <w:numFmt w:val="decimal"/>
      <w:pStyle w:val="15"/>
      <w:suff w:val="nothing"/>
      <w:lvlText w:val="%1　"/>
      <w:lvlJc w:val="left"/>
      <w:pPr>
        <w:ind w:left="5104" w:firstLine="0"/>
      </w:pPr>
      <w:rPr>
        <w:rFonts w:hint="eastAsia" w:ascii="黑体" w:hAnsi="Times New Roman" w:eastAsia="黑体"/>
        <w:b w:val="0"/>
        <w:i w:val="0"/>
        <w:sz w:val="21"/>
        <w:szCs w:val="21"/>
      </w:rPr>
    </w:lvl>
    <w:lvl w:ilvl="1" w:tentative="0">
      <w:start w:val="1"/>
      <w:numFmt w:val="decimal"/>
      <w:pStyle w:val="16"/>
      <w:suff w:val="nothing"/>
      <w:lvlText w:val="%1.%2　"/>
      <w:lvlJc w:val="left"/>
      <w:pPr>
        <w:ind w:left="568"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709"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D747733"/>
    <w:multiLevelType w:val="singleLevel"/>
    <w:tmpl w:val="6D747733"/>
    <w:lvl w:ilvl="0" w:tentative="0">
      <w:start w:val="2"/>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7B764D"/>
    <w:rsid w:val="00083785"/>
    <w:rsid w:val="0009239B"/>
    <w:rsid w:val="001867E4"/>
    <w:rsid w:val="001D3D1E"/>
    <w:rsid w:val="001E2BBD"/>
    <w:rsid w:val="002111F0"/>
    <w:rsid w:val="00216069"/>
    <w:rsid w:val="00221606"/>
    <w:rsid w:val="00255FCF"/>
    <w:rsid w:val="00285606"/>
    <w:rsid w:val="002B0DD4"/>
    <w:rsid w:val="002C6871"/>
    <w:rsid w:val="003150CA"/>
    <w:rsid w:val="00327D5A"/>
    <w:rsid w:val="003533E2"/>
    <w:rsid w:val="003645E6"/>
    <w:rsid w:val="00371BCD"/>
    <w:rsid w:val="00391CB2"/>
    <w:rsid w:val="00392ED4"/>
    <w:rsid w:val="003C1B42"/>
    <w:rsid w:val="003D3B12"/>
    <w:rsid w:val="003D6557"/>
    <w:rsid w:val="00400ABB"/>
    <w:rsid w:val="004057E6"/>
    <w:rsid w:val="0045544B"/>
    <w:rsid w:val="0046411C"/>
    <w:rsid w:val="004803F0"/>
    <w:rsid w:val="004B42D7"/>
    <w:rsid w:val="004E780C"/>
    <w:rsid w:val="004F37D2"/>
    <w:rsid w:val="00531777"/>
    <w:rsid w:val="00535187"/>
    <w:rsid w:val="00553ADF"/>
    <w:rsid w:val="005660DF"/>
    <w:rsid w:val="005A101D"/>
    <w:rsid w:val="005D7C9A"/>
    <w:rsid w:val="006014B2"/>
    <w:rsid w:val="0064489B"/>
    <w:rsid w:val="0067237E"/>
    <w:rsid w:val="006811F6"/>
    <w:rsid w:val="006D668F"/>
    <w:rsid w:val="006E01FC"/>
    <w:rsid w:val="0070059D"/>
    <w:rsid w:val="007210E4"/>
    <w:rsid w:val="007B764D"/>
    <w:rsid w:val="007E7D50"/>
    <w:rsid w:val="00851ECF"/>
    <w:rsid w:val="00853C7D"/>
    <w:rsid w:val="00877450"/>
    <w:rsid w:val="00896A50"/>
    <w:rsid w:val="008E60B3"/>
    <w:rsid w:val="0096793B"/>
    <w:rsid w:val="00977FBD"/>
    <w:rsid w:val="009E158A"/>
    <w:rsid w:val="009F7EB8"/>
    <w:rsid w:val="00A6356B"/>
    <w:rsid w:val="00A65E48"/>
    <w:rsid w:val="00A92E72"/>
    <w:rsid w:val="00AF11BF"/>
    <w:rsid w:val="00AF75AB"/>
    <w:rsid w:val="00B4086E"/>
    <w:rsid w:val="00B51395"/>
    <w:rsid w:val="00BA6DBF"/>
    <w:rsid w:val="00BD73E4"/>
    <w:rsid w:val="00BE4E43"/>
    <w:rsid w:val="00C012A3"/>
    <w:rsid w:val="00C761B2"/>
    <w:rsid w:val="00C82493"/>
    <w:rsid w:val="00CD6C02"/>
    <w:rsid w:val="00CF2BE4"/>
    <w:rsid w:val="00CF79FF"/>
    <w:rsid w:val="00D206D9"/>
    <w:rsid w:val="00D21FD7"/>
    <w:rsid w:val="00D46ED2"/>
    <w:rsid w:val="00D63CBE"/>
    <w:rsid w:val="00D73A88"/>
    <w:rsid w:val="00D9404C"/>
    <w:rsid w:val="00DB1471"/>
    <w:rsid w:val="00DE2EAF"/>
    <w:rsid w:val="00E065A1"/>
    <w:rsid w:val="00E32C42"/>
    <w:rsid w:val="00E36C32"/>
    <w:rsid w:val="00E77DE2"/>
    <w:rsid w:val="00EC6C54"/>
    <w:rsid w:val="00F5249D"/>
    <w:rsid w:val="00F6651A"/>
    <w:rsid w:val="00F677F8"/>
    <w:rsid w:val="00F726B9"/>
    <w:rsid w:val="00FC1FF6"/>
    <w:rsid w:val="020430C5"/>
    <w:rsid w:val="02D616AA"/>
    <w:rsid w:val="05685F23"/>
    <w:rsid w:val="07155C37"/>
    <w:rsid w:val="081C5B09"/>
    <w:rsid w:val="0C007434"/>
    <w:rsid w:val="0FEC128A"/>
    <w:rsid w:val="11CB6BD6"/>
    <w:rsid w:val="13955DF5"/>
    <w:rsid w:val="13A75E69"/>
    <w:rsid w:val="160D7C74"/>
    <w:rsid w:val="17984446"/>
    <w:rsid w:val="1B055AF7"/>
    <w:rsid w:val="1F790175"/>
    <w:rsid w:val="20C666F8"/>
    <w:rsid w:val="20DD78BF"/>
    <w:rsid w:val="247F27F5"/>
    <w:rsid w:val="2B013138"/>
    <w:rsid w:val="2B4470C3"/>
    <w:rsid w:val="2DFB720A"/>
    <w:rsid w:val="2E925A52"/>
    <w:rsid w:val="347D0FEC"/>
    <w:rsid w:val="34C9741B"/>
    <w:rsid w:val="39710CEB"/>
    <w:rsid w:val="3AB962FE"/>
    <w:rsid w:val="3BF5C025"/>
    <w:rsid w:val="418D0B46"/>
    <w:rsid w:val="430D5439"/>
    <w:rsid w:val="46B506E4"/>
    <w:rsid w:val="475B3FD3"/>
    <w:rsid w:val="4C211F55"/>
    <w:rsid w:val="4E6C5709"/>
    <w:rsid w:val="568DE255"/>
    <w:rsid w:val="5A704DB5"/>
    <w:rsid w:val="5BDE59FB"/>
    <w:rsid w:val="5C8D656E"/>
    <w:rsid w:val="5F7B9C7B"/>
    <w:rsid w:val="5FEE9978"/>
    <w:rsid w:val="60DF2E2C"/>
    <w:rsid w:val="68A61013"/>
    <w:rsid w:val="6D311FB7"/>
    <w:rsid w:val="7468126A"/>
    <w:rsid w:val="76982C47"/>
    <w:rsid w:val="76FC0093"/>
    <w:rsid w:val="7B5A666A"/>
    <w:rsid w:val="7B5E7C2D"/>
    <w:rsid w:val="7C6A6062"/>
    <w:rsid w:val="7D1B55BC"/>
    <w:rsid w:val="7E2472FB"/>
    <w:rsid w:val="7E2F07A5"/>
    <w:rsid w:val="8FAF1ED7"/>
    <w:rsid w:val="BBFE48DE"/>
    <w:rsid w:val="CDFD60DA"/>
    <w:rsid w:val="CEBF849B"/>
    <w:rsid w:val="D9D699D4"/>
    <w:rsid w:val="DBDEDA81"/>
    <w:rsid w:val="DDEDDB56"/>
    <w:rsid w:val="E7BE23A2"/>
    <w:rsid w:val="FD8B52E2"/>
    <w:rsid w:val="FDEDFDE3"/>
    <w:rsid w:val="FFDFB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next w:val="1"/>
    <w:qFormat/>
    <w:uiPriority w:val="0"/>
    <w:pPr>
      <w:widowControl w:val="0"/>
      <w:jc w:val="both"/>
    </w:pPr>
    <w:rPr>
      <w:rFonts w:ascii="Times New Roman" w:hAnsi="Times New Roman" w:eastAsia="仿宋_GB2312" w:cs="Times New Roman"/>
      <w:kern w:val="2"/>
      <w:sz w:val="21"/>
      <w:szCs w:val="24"/>
      <w:lang w:val="en-US" w:eastAsia="zh-CN" w:bidi="ar-SA"/>
    </w:rPr>
  </w:style>
  <w:style w:type="paragraph" w:styleId="3">
    <w:name w:val="Body Text Indent"/>
    <w:basedOn w:val="1"/>
    <w:link w:val="12"/>
    <w:semiHidden/>
    <w:unhideWhenUsed/>
    <w:qFormat/>
    <w:uiPriority w:val="99"/>
    <w:pPr>
      <w:spacing w:after="120"/>
      <w:ind w:left="420" w:leftChars="200"/>
    </w:p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rFonts w:asciiTheme="minorHAnsi" w:hAnsiTheme="minorHAnsi" w:eastAsiaTheme="minorEastAsia"/>
      <w:sz w:val="18"/>
      <w:szCs w:val="18"/>
    </w:rPr>
  </w:style>
  <w:style w:type="paragraph" w:styleId="6">
    <w:name w:val="Body Text First Indent 2"/>
    <w:basedOn w:val="1"/>
    <w:next w:val="1"/>
    <w:link w:val="13"/>
    <w:qFormat/>
    <w:uiPriority w:val="0"/>
    <w:pPr>
      <w:spacing w:before="100" w:beforeAutospacing="1" w:after="100" w:afterAutospacing="1"/>
      <w:ind w:left="420" w:leftChars="200" w:firstLine="210"/>
      <w:jc w:val="left"/>
    </w:pPr>
    <w:rPr>
      <w:color w:val="000000"/>
      <w:kern w:val="1"/>
      <w:sz w:val="20"/>
      <w:szCs w:val="20"/>
      <w:lang w:val="zh-CN"/>
    </w:rPr>
  </w:style>
  <w:style w:type="character" w:customStyle="1" w:styleId="9">
    <w:name w:val="页眉 Char"/>
    <w:link w:val="5"/>
    <w:semiHidden/>
    <w:qFormat/>
    <w:locked/>
    <w:uiPriority w:val="99"/>
    <w:rPr>
      <w:rFonts w:cs="Times New Roman"/>
      <w:sz w:val="18"/>
      <w:szCs w:val="18"/>
    </w:rPr>
  </w:style>
  <w:style w:type="character" w:customStyle="1" w:styleId="10">
    <w:name w:val="页眉 Char1"/>
    <w:basedOn w:val="8"/>
    <w:link w:val="5"/>
    <w:semiHidden/>
    <w:qFormat/>
    <w:uiPriority w:val="99"/>
    <w:rPr>
      <w:rFonts w:ascii="Times New Roman" w:hAnsi="Times New Roman" w:eastAsia="宋体" w:cs="Times New Roman"/>
      <w:sz w:val="18"/>
      <w:szCs w:val="18"/>
    </w:rPr>
  </w:style>
  <w:style w:type="character" w:customStyle="1" w:styleId="11">
    <w:name w:val="页脚 Char"/>
    <w:basedOn w:val="8"/>
    <w:link w:val="4"/>
    <w:semiHidden/>
    <w:qFormat/>
    <w:uiPriority w:val="99"/>
    <w:rPr>
      <w:rFonts w:ascii="Times New Roman" w:hAnsi="Times New Roman" w:eastAsia="宋体" w:cs="Times New Roman"/>
      <w:sz w:val="18"/>
      <w:szCs w:val="18"/>
    </w:rPr>
  </w:style>
  <w:style w:type="character" w:customStyle="1" w:styleId="12">
    <w:name w:val="正文文本缩进 Char"/>
    <w:basedOn w:val="8"/>
    <w:link w:val="3"/>
    <w:semiHidden/>
    <w:qFormat/>
    <w:uiPriority w:val="99"/>
    <w:rPr>
      <w:rFonts w:ascii="Times New Roman" w:hAnsi="Times New Roman" w:eastAsia="宋体" w:cs="Times New Roman"/>
    </w:rPr>
  </w:style>
  <w:style w:type="character" w:customStyle="1" w:styleId="13">
    <w:name w:val="正文首行缩进 2 Char"/>
    <w:basedOn w:val="12"/>
    <w:link w:val="6"/>
    <w:qFormat/>
    <w:uiPriority w:val="0"/>
    <w:rPr>
      <w:color w:val="000000"/>
      <w:kern w:val="1"/>
      <w:sz w:val="20"/>
      <w:szCs w:val="20"/>
      <w:lang w:val="zh-CN"/>
    </w:rPr>
  </w:style>
  <w:style w:type="paragraph" w:customStyle="1" w:styleId="1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5">
    <w:name w:val="章标题"/>
    <w:next w:val="14"/>
    <w:qFormat/>
    <w:uiPriority w:val="0"/>
    <w:pPr>
      <w:numPr>
        <w:ilvl w:val="0"/>
        <w:numId w:val="1"/>
      </w:numPr>
      <w:spacing w:beforeLines="100" w:afterLines="100"/>
      <w:ind w:left="0"/>
      <w:jc w:val="both"/>
      <w:outlineLvl w:val="1"/>
    </w:pPr>
    <w:rPr>
      <w:rFonts w:ascii="黑体" w:hAnsi="Times New Roman" w:eastAsia="黑体" w:cs="Times New Roman"/>
      <w:sz w:val="21"/>
      <w:lang w:val="en-US" w:eastAsia="zh-CN" w:bidi="ar-SA"/>
    </w:rPr>
  </w:style>
  <w:style w:type="paragraph" w:customStyle="1" w:styleId="16">
    <w:name w:val="一级条标题"/>
    <w:next w:val="14"/>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17">
    <w:name w:val="目次、标准名称标题"/>
    <w:basedOn w:val="1"/>
    <w:next w:val="1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8</Pages>
  <Words>3870</Words>
  <Characters>4254</Characters>
  <Lines>36</Lines>
  <Paragraphs>10</Paragraphs>
  <TotalTime>498</TotalTime>
  <ScaleCrop>false</ScaleCrop>
  <LinksUpToDate>false</LinksUpToDate>
  <CharactersWithSpaces>4295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2022-04-14T09:41:00Z</dcterms:created>
  <dc:creator>Windows User</dc:creator>
  <cp:lastModifiedBy>陈星曈</cp:lastModifiedBy>
  <dcterms:modified xsi:type="dcterms:W3CDTF">2025-09-05T06:24:31Z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16FBE03A70934679B5CE034E3BA626A1_12</vt:lpwstr>
  </property>
  <property fmtid="{D5CDD505-2E9C-101B-9397-08002B2CF9AE}" pid="4" name="KSOTemplateDocerSaveRecord">
    <vt:lpwstr>eyJoZGlkIjoiNzhiMjFhNjIyYzE0ZWNjMWI5NjJlODEyYTM4NmRiY2EiLCJ1c2VySWQiOiIxMjEzNjU0MDg4In0=</vt:lpwstr>
  </property>
</Properties>
</file>